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val="0"/>
        <w:topLinePunct/>
        <w:autoSpaceDE/>
        <w:autoSpaceDN/>
        <w:bidi w:val="0"/>
        <w:adjustRightInd w:val="0"/>
        <w:snapToGrid w:val="0"/>
        <w:spacing w:after="0" w:line="600" w:lineRule="exact"/>
        <w:jc w:val="center"/>
        <w:textAlignment w:val="auto"/>
        <w:rPr>
          <w:rFonts w:hint="default" w:ascii="Times New Roman" w:hAnsi="Times New Roman" w:eastAsia="方正小标宋简体" w:cs="Times New Roman"/>
          <w:strike w:val="0"/>
          <w:dstrike w:val="0"/>
          <w:color w:val="auto"/>
          <w:sz w:val="44"/>
          <w:szCs w:val="44"/>
          <w:highlight w:val="none"/>
          <w:u w:val="none" w:color="auto"/>
          <w:lang w:val="en-US" w:eastAsia="zh-CN"/>
        </w:rPr>
      </w:pPr>
      <w:r>
        <w:rPr>
          <w:rFonts w:hint="default" w:ascii="Times New Roman" w:hAnsi="Times New Roman" w:eastAsia="方正小标宋简体" w:cs="Times New Roman"/>
          <w:strike w:val="0"/>
          <w:dstrike w:val="0"/>
          <w:color w:val="auto"/>
          <w:sz w:val="44"/>
          <w:szCs w:val="44"/>
          <w:highlight w:val="none"/>
          <w:u w:val="none" w:color="auto"/>
          <w:lang w:val="en-US" w:eastAsia="zh-CN"/>
        </w:rPr>
        <w:t>乌海市加快经济社会发展 促进绿色低碳转型三年行动计划（2025—2027年）</w:t>
      </w:r>
    </w:p>
    <w:p>
      <w:pPr>
        <w:pStyle w:val="5"/>
        <w:keepNext w:val="0"/>
        <w:keepLines w:val="0"/>
        <w:pageBreakBefore w:val="0"/>
        <w:widowControl w:val="0"/>
        <w:kinsoku/>
        <w:wordWrap/>
        <w:overflowPunct w:val="0"/>
        <w:topLinePunct/>
        <w:autoSpaceDE/>
        <w:autoSpaceDN/>
        <w:bidi w:val="0"/>
        <w:adjustRightInd w:val="0"/>
        <w:snapToGrid w:val="0"/>
        <w:spacing w:after="0" w:line="600" w:lineRule="exact"/>
        <w:ind w:left="0" w:leftChars="0" w:firstLine="640" w:firstLineChars="200"/>
        <w:jc w:val="center"/>
        <w:textAlignment w:val="auto"/>
        <w:rPr>
          <w:rFonts w:hint="default" w:ascii="Times New Roman" w:hAnsi="Times New Roman" w:eastAsia="楷体_GB2312" w:cs="Times New Roman"/>
          <w:strike w:val="0"/>
          <w:dstrike w:val="0"/>
          <w:color w:val="auto"/>
          <w:sz w:val="32"/>
          <w:szCs w:val="32"/>
          <w:highlight w:val="none"/>
          <w:u w:val="none" w:color="auto"/>
          <w:lang w:val="en-US" w:eastAsia="zh-CN"/>
        </w:rPr>
      </w:pPr>
      <w:r>
        <w:rPr>
          <w:rFonts w:hint="default" w:ascii="Times New Roman" w:hAnsi="Times New Roman" w:eastAsia="楷体_GB2312" w:cs="Times New Roman"/>
          <w:strike w:val="0"/>
          <w:dstrike w:val="0"/>
          <w:color w:val="auto"/>
          <w:sz w:val="32"/>
          <w:szCs w:val="32"/>
          <w:highlight w:val="none"/>
          <w:u w:val="none" w:color="auto"/>
          <w:lang w:val="en-US" w:eastAsia="zh-CN"/>
        </w:rPr>
        <w:t>（征求意见稿）</w:t>
      </w:r>
    </w:p>
    <w:p>
      <w:pPr>
        <w:pStyle w:val="12"/>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snapToGrid w:val="0"/>
          <w:color w:val="auto"/>
          <w:w w:val="100"/>
          <w:kern w:val="0"/>
          <w:sz w:val="32"/>
          <w:szCs w:val="32"/>
          <w:highlight w:val="none"/>
          <w:u w:val="none" w:color="auto"/>
          <w:lang w:val="en-US" w:eastAsia="zh-CN"/>
        </w:rPr>
      </w:pPr>
    </w:p>
    <w:p>
      <w:pPr>
        <w:pStyle w:val="12"/>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snapToGrid w:val="0"/>
          <w:color w:val="auto"/>
          <w:w w:val="100"/>
          <w:kern w:val="0"/>
          <w:sz w:val="32"/>
          <w:szCs w:val="32"/>
          <w:highlight w:val="none"/>
          <w:u w:val="none" w:color="auto"/>
          <w:lang w:val="en-US" w:eastAsia="zh-CN"/>
        </w:rPr>
      </w:pPr>
      <w:r>
        <w:rPr>
          <w:rFonts w:hint="default" w:ascii="Times New Roman" w:hAnsi="Times New Roman" w:eastAsia="仿宋_GB2312" w:cs="Times New Roman"/>
          <w:snapToGrid w:val="0"/>
          <w:color w:val="auto"/>
          <w:w w:val="100"/>
          <w:kern w:val="0"/>
          <w:sz w:val="32"/>
          <w:szCs w:val="32"/>
          <w:highlight w:val="none"/>
          <w:u w:val="none" w:color="auto"/>
          <w:lang w:val="en-US" w:eastAsia="zh-CN"/>
        </w:rPr>
        <w:t>为深入贯彻落实习近平总书记对内蒙古重要讲话和指示批示精神，坚定不移走好以生态优先、绿色发展为导向的高质量发展新路子，系统推进全市三次产业结构优化与绿色低碳转型，切实抓好乌海及周边地区等重点区域生态环境综合治理，特制定三年行动计划。</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黑体" w:cs="Times New Roman"/>
          <w:snapToGrid w:val="0"/>
          <w:color w:val="auto"/>
          <w:w w:val="100"/>
          <w:kern w:val="0"/>
          <w:sz w:val="32"/>
          <w:szCs w:val="32"/>
          <w:highlight w:val="none"/>
          <w:u w:val="none" w:color="auto"/>
          <w:lang w:val="en-US" w:eastAsia="zh-CN"/>
        </w:rPr>
      </w:pPr>
      <w:r>
        <w:rPr>
          <w:rFonts w:hint="default" w:ascii="Times New Roman" w:hAnsi="Times New Roman" w:eastAsia="黑体" w:cs="Times New Roman"/>
          <w:snapToGrid w:val="0"/>
          <w:color w:val="auto"/>
          <w:w w:val="100"/>
          <w:kern w:val="0"/>
          <w:sz w:val="32"/>
          <w:szCs w:val="32"/>
          <w:highlight w:val="none"/>
          <w:u w:val="none" w:color="auto"/>
          <w:lang w:val="en-US" w:eastAsia="zh-CN"/>
        </w:rPr>
        <w:t>一、总体要求</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snapToGrid/>
          <w:color w:val="auto"/>
          <w:w w:val="100"/>
          <w:kern w:val="0"/>
          <w:sz w:val="32"/>
          <w:szCs w:val="32"/>
          <w:highlight w:val="none"/>
          <w:u w:val="none" w:color="auto"/>
          <w:lang w:val="en-US" w:eastAsia="zh-CN" w:bidi="ar"/>
        </w:rPr>
      </w:pPr>
      <w:r>
        <w:rPr>
          <w:rFonts w:hint="default" w:ascii="Times New Roman" w:hAnsi="Times New Roman" w:eastAsia="仿宋_GB2312" w:cs="Times New Roman"/>
          <w:b w:val="0"/>
          <w:bCs w:val="0"/>
          <w:color w:val="auto"/>
          <w:kern w:val="0"/>
          <w:sz w:val="32"/>
          <w:szCs w:val="32"/>
          <w:highlight w:val="none"/>
          <w:u w:val="none" w:color="auto"/>
          <w:lang w:val="en-US" w:eastAsia="zh-CN" w:bidi="ar"/>
        </w:rPr>
        <w:t>坚持以习近平新时代中国特色社会主义思想为指导，全面贯彻党的二十大和二十届二中、三中全会精神，深入落实习近平经济思想、</w:t>
      </w:r>
      <w:r>
        <w:rPr>
          <w:rFonts w:hint="eastAsia" w:ascii="Times New Roman" w:hAnsi="Times New Roman" w:eastAsia="仿宋_GB2312" w:cs="Times New Roman"/>
          <w:b w:val="0"/>
          <w:bCs w:val="0"/>
          <w:color w:val="auto"/>
          <w:kern w:val="0"/>
          <w:sz w:val="32"/>
          <w:szCs w:val="32"/>
          <w:highlight w:val="none"/>
          <w:u w:val="none" w:color="auto"/>
          <w:lang w:val="en-US" w:eastAsia="zh-CN" w:bidi="ar"/>
        </w:rPr>
        <w:t>习近平生态文明思想</w:t>
      </w:r>
      <w:r>
        <w:rPr>
          <w:rFonts w:hint="default" w:ascii="Times New Roman" w:hAnsi="Times New Roman" w:eastAsia="仿宋_GB2312" w:cs="Times New Roman"/>
          <w:b w:val="0"/>
          <w:bCs w:val="0"/>
          <w:color w:val="auto"/>
          <w:kern w:val="0"/>
          <w:sz w:val="32"/>
          <w:szCs w:val="32"/>
          <w:highlight w:val="none"/>
          <w:u w:val="none" w:color="auto"/>
          <w:lang w:val="en-US" w:eastAsia="zh-CN" w:bidi="ar"/>
        </w:rPr>
        <w:t>，以生</w:t>
      </w:r>
      <w:bookmarkStart w:id="2" w:name="_GoBack"/>
      <w:bookmarkEnd w:id="2"/>
      <w:r>
        <w:rPr>
          <w:rFonts w:hint="default" w:ascii="Times New Roman" w:hAnsi="Times New Roman" w:eastAsia="仿宋_GB2312" w:cs="Times New Roman"/>
          <w:b w:val="0"/>
          <w:bCs w:val="0"/>
          <w:color w:val="auto"/>
          <w:kern w:val="0"/>
          <w:sz w:val="32"/>
          <w:szCs w:val="32"/>
          <w:highlight w:val="none"/>
          <w:u w:val="none" w:color="auto"/>
          <w:lang w:val="en-US" w:eastAsia="zh-CN" w:bidi="ar"/>
        </w:rPr>
        <w:t>态优先、绿色发展为统领，进一步处理好发展和减排、整体和局部、短期和中长期的关系，按照“治理聚势促提升”的工作思路，持续优化产业结构、能源结构、交通运输结构，推动能耗双控向碳排放双控转变，严格按照国家和自治区关于全面绿色转型的系列要求，痛下决心、直面问题、主动调适、精准施策，坚持生态立市、工业强市、服务兴市、科技领航，实施好产业基础再造和产业链提升工程，节能降碳推动产业转型升级，乘势而上发展绿色低碳优势产业，加快构建以新型工业化为主导、“小而精”“小而强”的现代产业体系，努力在资源型城市转型上求突破、作示</w:t>
      </w:r>
      <w:r>
        <w:rPr>
          <w:rFonts w:hint="default" w:ascii="Times New Roman" w:hAnsi="Times New Roman" w:eastAsia="仿宋_GB2312" w:cs="Times New Roman"/>
          <w:b w:val="0"/>
          <w:bCs w:val="0"/>
          <w:color w:val="auto"/>
          <w:spacing w:val="-11"/>
          <w:kern w:val="0"/>
          <w:sz w:val="32"/>
          <w:szCs w:val="32"/>
          <w:highlight w:val="none"/>
          <w:u w:val="none" w:color="auto"/>
          <w:lang w:val="en-US" w:eastAsia="zh-CN" w:bidi="ar"/>
        </w:rPr>
        <w:t>范，不断书写中国式现代化乌海新篇章。</w:t>
      </w:r>
      <w:r>
        <w:rPr>
          <w:rFonts w:hint="default" w:ascii="Times New Roman" w:hAnsi="Times New Roman" w:eastAsia="仿宋_GB2312" w:cs="Times New Roman"/>
          <w:snapToGrid/>
          <w:color w:val="auto"/>
          <w:spacing w:val="-11"/>
          <w:w w:val="100"/>
          <w:kern w:val="0"/>
          <w:sz w:val="32"/>
          <w:szCs w:val="32"/>
          <w:highlight w:val="none"/>
          <w:u w:val="none" w:color="auto"/>
          <w:lang w:val="en-US" w:eastAsia="zh-CN" w:bidi="ar"/>
        </w:rPr>
        <w:t>主要坚持以下原则：</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—严格项目准入。</w:t>
      </w:r>
      <w:r>
        <w:rPr>
          <w:rFonts w:hint="default" w:ascii="Times New Roman" w:hAnsi="Times New Roman" w:eastAsia="仿宋_GB2312" w:cs="Times New Roman"/>
          <w:color w:val="auto"/>
          <w:sz w:val="32"/>
          <w:szCs w:val="32"/>
          <w:highlight w:val="none"/>
          <w:u w:val="none" w:color="auto"/>
          <w:lang w:val="en-US" w:eastAsia="zh-CN"/>
        </w:rPr>
        <w:t>对标国家《市场准入负面清单》及自治区产业政策，确保产业方向与顶层政策同频共振；落实好《乌海市社会投资项目全流程管理办法（试行）》相关要求，发挥社会投资项目在节能降耗方面的牵引带动作用，扩大有效投资，优化投资结构，提高投资效益，从源头杜绝低质低效产能落地，切实把好高质量发展准入关。</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—坚持要素先行。</w:t>
      </w:r>
      <w:r>
        <w:rPr>
          <w:rFonts w:hint="default" w:ascii="Times New Roman" w:hAnsi="Times New Roman" w:eastAsia="仿宋_GB2312" w:cs="Times New Roman"/>
          <w:color w:val="auto"/>
          <w:sz w:val="32"/>
          <w:szCs w:val="32"/>
          <w:highlight w:val="none"/>
          <w:u w:val="none" w:color="auto"/>
          <w:lang w:val="en-US" w:eastAsia="zh-CN"/>
        </w:rPr>
        <w:t>坚持“四水四定”，将生态环境承载力作为项目准入的刚性约束，强化环境容量、碳排放总量和强度、水资源消耗总量和强度、建设用地总量和强度“四控”目标管理；积极开展“腾笼换鸟”工作，依法关停退出不符合用地、环保、安全等要求的企业，推动要素向绿色高效领域流动，全力保障新上产业项目重点对接类</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（详见附件）</w:t>
      </w:r>
      <w:r>
        <w:rPr>
          <w:rFonts w:hint="default" w:ascii="Times New Roman" w:hAnsi="Times New Roman" w:eastAsia="仿宋_GB2312" w:cs="Times New Roman"/>
          <w:color w:val="auto"/>
          <w:sz w:val="32"/>
          <w:szCs w:val="32"/>
          <w:highlight w:val="none"/>
          <w:u w:val="none" w:color="auto"/>
          <w:lang w:val="en-US" w:eastAsia="zh-CN"/>
        </w:rPr>
        <w:t>。</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—依托政策引领。</w:t>
      </w:r>
      <w:r>
        <w:rPr>
          <w:rFonts w:hint="default" w:ascii="Times New Roman" w:hAnsi="Times New Roman" w:eastAsia="仿宋_GB2312" w:cs="Times New Roman"/>
          <w:color w:val="auto"/>
          <w:sz w:val="32"/>
          <w:szCs w:val="32"/>
          <w:highlight w:val="none"/>
          <w:u w:val="none" w:color="auto"/>
          <w:lang w:val="en-US" w:eastAsia="zh-CN"/>
        </w:rPr>
        <w:t>及时出台一批引导性政策措施，通过财政以奖代补、税收优惠、荣誉赋能、试点授权等各类优惠政策，激励链主企业与配套企业参与“串珠成链”等有利于乌海市绿色低碳转型的工作，破解资源瓶颈，降低运行成本，提升协同效能，激发产业链整体活力，实现绿色低碳转型。</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—突出依法监管。</w:t>
      </w:r>
      <w:r>
        <w:rPr>
          <w:rFonts w:hint="default" w:ascii="Times New Roman" w:hAnsi="Times New Roman" w:eastAsia="仿宋_GB2312" w:cs="Times New Roman"/>
          <w:color w:val="auto"/>
          <w:sz w:val="32"/>
          <w:szCs w:val="32"/>
          <w:highlight w:val="none"/>
          <w:u w:val="none" w:color="auto"/>
          <w:lang w:val="en-US" w:eastAsia="zh-CN"/>
        </w:rPr>
        <w:t>围绕依法治理，聚焦煤炭、焦化、火力发电等重点污染排放领域，以法律为标尺划定行为边界，通过“知法明责—执法督责—司法问责”全链条机制，推动企业从“被动治污”向“主动合规”转变，切实把环保</w:t>
      </w:r>
      <w:r>
        <w:rPr>
          <w:rFonts w:hint="eastAsia" w:ascii="Times New Roman" w:hAnsi="Times New Roman" w:eastAsia="仿宋_GB2312" w:cs="Times New Roman"/>
          <w:color w:val="auto"/>
          <w:sz w:val="32"/>
          <w:szCs w:val="32"/>
          <w:highlight w:val="none"/>
          <w:u w:val="none" w:color="auto"/>
          <w:lang w:val="en-US" w:eastAsia="zh-CN"/>
        </w:rPr>
        <w:t>督察</w:t>
      </w:r>
      <w:r>
        <w:rPr>
          <w:rFonts w:hint="default" w:ascii="Times New Roman" w:hAnsi="Times New Roman" w:eastAsia="仿宋_GB2312" w:cs="Times New Roman"/>
          <w:color w:val="auto"/>
          <w:sz w:val="32"/>
          <w:szCs w:val="32"/>
          <w:highlight w:val="none"/>
          <w:u w:val="none" w:color="auto"/>
          <w:lang w:val="en-US" w:eastAsia="zh-CN"/>
        </w:rPr>
        <w:t>问题整改到位，确保不反弹。</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b w:val="0"/>
          <w:bCs w:val="0"/>
          <w:color w:val="auto"/>
          <w:kern w:val="0"/>
          <w:sz w:val="32"/>
          <w:szCs w:val="32"/>
          <w:highlight w:val="none"/>
          <w:u w:val="none" w:color="auto"/>
          <w:lang w:val="en-US" w:eastAsia="zh-CN" w:bidi="ar"/>
        </w:rPr>
      </w:pPr>
      <w:r>
        <w:rPr>
          <w:rFonts w:hint="default" w:ascii="Times New Roman" w:hAnsi="Times New Roman" w:eastAsia="仿宋_GB2312" w:cs="Times New Roman"/>
          <w:b w:val="0"/>
          <w:bCs w:val="0"/>
          <w:color w:val="auto"/>
          <w:kern w:val="0"/>
          <w:sz w:val="32"/>
          <w:szCs w:val="32"/>
          <w:highlight w:val="none"/>
          <w:u w:val="none" w:color="auto"/>
          <w:lang w:val="en-US" w:eastAsia="zh-CN" w:bidi="ar"/>
        </w:rPr>
        <w:t>主要目标是：</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b w:val="0"/>
          <w:bCs w:val="0"/>
          <w:color w:val="auto"/>
          <w:kern w:val="0"/>
          <w:sz w:val="32"/>
          <w:szCs w:val="32"/>
          <w:highlight w:val="none"/>
          <w:u w:val="none" w:color="auto"/>
          <w:lang w:val="en-US" w:eastAsia="zh-CN" w:bidi="ar"/>
        </w:rPr>
      </w:pPr>
      <w:r>
        <w:rPr>
          <w:rFonts w:hint="default" w:ascii="Times New Roman" w:hAnsi="Times New Roman" w:eastAsia="仿宋_GB2312" w:cs="Times New Roman"/>
          <w:b w:val="0"/>
          <w:bCs w:val="0"/>
          <w:color w:val="auto"/>
          <w:kern w:val="0"/>
          <w:sz w:val="32"/>
          <w:szCs w:val="32"/>
          <w:highlight w:val="none"/>
          <w:u w:val="none" w:color="auto"/>
          <w:lang w:val="en-US" w:eastAsia="zh-CN" w:bidi="ar"/>
        </w:rPr>
        <w:t>到2027年底，全市产业结构、能源结构调整取得重大进展，重点领域低碳发展模式基本形成，低碳产业规模迈上新台阶，资源型产业比重稳步下降，清洁低碳安全高效的现代能源体系初步建立，非化石能源消费比重逐年提高，绿色能源消费比例提升至25%以上，零碳园区实现“零”的突破，全市战略性新兴产业增加值占规模以上工业增加值比重力争达到10%左右，</w:t>
      </w:r>
      <w:r>
        <w:rPr>
          <w:rFonts w:hint="default" w:ascii="Times New Roman" w:hAnsi="Times New Roman" w:eastAsia="仿宋_GB2312" w:cs="Times New Roman"/>
          <w:sz w:val="32"/>
          <w:szCs w:val="32"/>
          <w:lang w:val="en-US" w:eastAsia="zh-CN"/>
        </w:rPr>
        <w:t>工业氮氧化物减排量达到523吨，</w:t>
      </w:r>
      <w:r>
        <w:rPr>
          <w:rFonts w:hint="default" w:ascii="Times New Roman" w:hAnsi="Times New Roman" w:eastAsia="仿宋_GB2312" w:cs="Times New Roman"/>
          <w:b w:val="0"/>
          <w:bCs w:val="0"/>
          <w:color w:val="auto"/>
          <w:kern w:val="0"/>
          <w:sz w:val="32"/>
          <w:szCs w:val="32"/>
          <w:highlight w:val="none"/>
          <w:u w:val="none" w:color="auto"/>
          <w:lang w:val="en-US" w:eastAsia="zh-CN" w:bidi="ar"/>
        </w:rPr>
        <w:t>铁路货运量占货物运输总量比重达到25%以上，重点行业清洁运输比例达到全区平均水平。</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黑体" w:cs="Times New Roman"/>
          <w:color w:val="auto"/>
          <w:sz w:val="32"/>
          <w:szCs w:val="32"/>
          <w:highlight w:val="none"/>
          <w:u w:val="none" w:color="auto"/>
          <w:lang w:val="en-US" w:eastAsia="zh-CN"/>
        </w:rPr>
        <w:t>二、加快推进产业结构调整</w:t>
      </w:r>
    </w:p>
    <w:p>
      <w:pPr>
        <w:pStyle w:val="10"/>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b w:val="0"/>
          <w:bCs w:val="0"/>
          <w:color w:val="auto"/>
          <w:sz w:val="32"/>
          <w:szCs w:val="32"/>
          <w:highlight w:val="none"/>
          <w:lang w:val="en-US" w:eastAsia="zh-CN"/>
        </w:rPr>
      </w:pPr>
      <w:r>
        <w:rPr>
          <w:rFonts w:hint="default" w:ascii="Times New Roman" w:hAnsi="Times New Roman" w:eastAsia="楷体_GB2312" w:cs="Times New Roman"/>
          <w:color w:val="auto"/>
          <w:sz w:val="32"/>
          <w:szCs w:val="32"/>
          <w:highlight w:val="none"/>
          <w:u w:val="none" w:color="auto"/>
          <w:lang w:val="en-US" w:eastAsia="zh-CN"/>
        </w:rPr>
        <w:t>（一）推动传统产业“三化”转型。</w:t>
      </w:r>
      <w:r>
        <w:rPr>
          <w:rFonts w:hint="default" w:ascii="Times New Roman" w:hAnsi="Times New Roman" w:eastAsia="仿宋_GB2312" w:cs="Times New Roman"/>
          <w:b/>
          <w:bCs/>
          <w:color w:val="auto"/>
          <w:sz w:val="32"/>
          <w:szCs w:val="32"/>
          <w:highlight w:val="none"/>
          <w:u w:val="none" w:color="auto"/>
          <w:lang w:val="en-US" w:eastAsia="zh-CN"/>
        </w:rPr>
        <w:t>采矿业，</w:t>
      </w:r>
      <w:r>
        <w:rPr>
          <w:rFonts w:hint="default" w:ascii="Times New Roman" w:hAnsi="Times New Roman" w:eastAsia="仿宋_GB2312" w:cs="Times New Roman"/>
          <w:color w:val="auto"/>
          <w:sz w:val="32"/>
          <w:szCs w:val="32"/>
          <w:highlight w:val="none"/>
          <w:u w:val="none" w:color="auto"/>
          <w:lang w:val="en-US" w:eastAsia="zh-CN"/>
        </w:rPr>
        <w:t>要加快矿权整合，优化露天煤矿布局，减少煤矿数量，稳定煤炭产量、采矿业占规上工业的比重稳定在一个合理区间内，新建、改扩建矿山应当要建设配套煤炭洗选设施，已建成的煤矿所采煤炭属于高硫分、高灰分的应当限期建成配套的煤炭洗选设施，提高煤炭就地清洁转化利用率，并全面按照绿色矿山标准开展建设及生产，到2027年底，生产煤矿安全标准一级、二级占比达到85%，所有在产煤矿全部完成智能化建设，建成自治区级绿色矿山15座，矿区土地应复尽复、应治尽治</w:t>
      </w:r>
      <w:r>
        <w:rPr>
          <w:rFonts w:hint="default" w:ascii="Times New Roman" w:hAnsi="Times New Roman" w:eastAsia="仿宋_GB2312" w:cs="Times New Roman"/>
          <w:b w:val="0"/>
          <w:bCs w:val="0"/>
          <w:color w:val="auto"/>
          <w:sz w:val="32"/>
          <w:szCs w:val="32"/>
          <w:highlight w:val="none"/>
          <w:u w:val="none" w:color="auto"/>
          <w:lang w:val="en-US" w:eastAsia="zh-CN"/>
        </w:rPr>
        <w:t>。</w:t>
      </w:r>
      <w:r>
        <w:rPr>
          <w:rFonts w:hint="default" w:ascii="Times New Roman" w:hAnsi="Times New Roman" w:eastAsia="仿宋_GB2312" w:cs="Times New Roman"/>
          <w:b/>
          <w:bCs/>
          <w:color w:val="auto"/>
          <w:sz w:val="32"/>
          <w:szCs w:val="32"/>
          <w:highlight w:val="none"/>
          <w:u w:val="none" w:color="auto"/>
          <w:lang w:val="en-US" w:eastAsia="zh-CN"/>
        </w:rPr>
        <w:t>1.着力推动煤炭生产智能化体系建设，</w:t>
      </w:r>
      <w:r>
        <w:rPr>
          <w:rFonts w:hint="default" w:ascii="Times New Roman" w:hAnsi="Times New Roman" w:eastAsia="仿宋_GB2312" w:cs="Times New Roman"/>
          <w:color w:val="auto"/>
          <w:sz w:val="32"/>
          <w:szCs w:val="32"/>
          <w:highlight w:val="none"/>
          <w:u w:val="none" w:color="auto"/>
          <w:lang w:val="en-US" w:eastAsia="zh-CN"/>
        </w:rPr>
        <w:t>对于整合后的煤矿应同步编制智能化专项建设方案，全面开展煤矿智能化建设，形成完整的智能化煤矿高效协调运维体系；鼓励井工煤矿重点推进开采系统智能决策自主运行、掘进系统工艺设备高效协同，采掘工作面实现超视距远程控制与现场少人无人，危险繁重岗位机器人替代。鼓励露天煤矿重点推进5G网络、数据中心、感知系统建设，结合实际，有序推进车辆在线监测、远程操控系统、无人驾驶系统等，实现开采环境数字化、采掘装备智能化、生产过程遥控化、信息传输网络化和经营管理信息化。</w:t>
      </w:r>
      <w:r>
        <w:rPr>
          <w:rFonts w:hint="default" w:ascii="Times New Roman" w:hAnsi="Times New Roman" w:eastAsia="仿宋_GB2312" w:cs="Times New Roman"/>
          <w:b/>
          <w:bCs/>
          <w:color w:val="auto"/>
          <w:sz w:val="32"/>
          <w:szCs w:val="32"/>
          <w:highlight w:val="none"/>
          <w:u w:val="none" w:color="auto"/>
          <w:lang w:val="en-US" w:eastAsia="zh-CN"/>
        </w:rPr>
        <w:t>2.着力推动绿色矿山建设，</w:t>
      </w:r>
      <w:r>
        <w:rPr>
          <w:rFonts w:hint="default" w:ascii="Times New Roman" w:hAnsi="Times New Roman" w:eastAsia="仿宋_GB2312" w:cs="Times New Roman"/>
          <w:b w:val="0"/>
          <w:bCs w:val="0"/>
          <w:color w:val="auto"/>
          <w:sz w:val="32"/>
          <w:szCs w:val="32"/>
          <w:highlight w:val="none"/>
          <w:u w:val="none" w:color="auto"/>
          <w:lang w:val="en-US" w:eastAsia="zh-CN"/>
        </w:rPr>
        <w:t>认真落实“生态保护红线、环境质量底线、资源利用上线和环境准入负面清单”约束，合理确定煤炭开发强度，重视和支持煤矸石以及煤炭伴生资源的综合利用，切实加强煤炭开发过程中的环境保护工作，全面推进绿色矿山建设。新建煤矿全面按照绿色矿山标准进行建设，生产矿山要按照绿色矿山建设标准加快改造升级，实现煤炭资源开发、建设、生产与生态环境保护工程同步设计、同步实施，提高矿区生态功能。</w:t>
      </w:r>
      <w:r>
        <w:rPr>
          <w:rFonts w:hint="default" w:ascii="Times New Roman" w:hAnsi="Times New Roman" w:eastAsia="仿宋_GB2312" w:cs="Times New Roman"/>
          <w:b/>
          <w:bCs/>
          <w:color w:val="auto"/>
          <w:sz w:val="32"/>
          <w:szCs w:val="32"/>
          <w:highlight w:val="none"/>
          <w:u w:val="none" w:color="auto"/>
          <w:lang w:val="en-US" w:eastAsia="zh-CN"/>
        </w:rPr>
        <w:t>3.着力推动煤矿安全生产标准化体系建设，</w:t>
      </w:r>
      <w:r>
        <w:rPr>
          <w:rFonts w:hint="default" w:ascii="Times New Roman" w:hAnsi="Times New Roman" w:eastAsia="仿宋_GB2312" w:cs="Times New Roman"/>
          <w:b w:val="0"/>
          <w:bCs w:val="0"/>
          <w:color w:val="auto"/>
          <w:sz w:val="32"/>
          <w:szCs w:val="32"/>
          <w:highlight w:val="none"/>
          <w:u w:val="none" w:color="auto"/>
          <w:lang w:val="en-US" w:eastAsia="zh-CN"/>
        </w:rPr>
        <w:t>健全完善煤矿企业安全生产标准化管理体系，制定年度创建目标，建立激励约束机制，加强监督检查，定期组织现场检查、动态抽查，严格考核兑现。持续开展“打非治违”行动，综合运用行政处罚、约谈、问责、行政与司法相衔接等措施，依法进行惩处。建立跨部门联动协作机制，实现违法线索互联。坚持严格规范精准执法，持续推动执法规范化建设。提高应急救援水平，加强应急准备工作，完善应急响应机制，提升应急管理能力。</w:t>
      </w:r>
      <w:r>
        <w:rPr>
          <w:rFonts w:hint="default" w:ascii="Times New Roman" w:hAnsi="Times New Roman" w:eastAsia="仿宋_GB2312" w:cs="Times New Roman"/>
          <w:b/>
          <w:bCs/>
          <w:color w:val="auto"/>
          <w:sz w:val="32"/>
          <w:szCs w:val="32"/>
          <w:highlight w:val="none"/>
          <w:u w:val="none" w:color="auto"/>
          <w:lang w:val="en-US" w:eastAsia="zh-CN"/>
        </w:rPr>
        <w:t>4.开展洗选行业整改整顿，</w:t>
      </w:r>
      <w:r>
        <w:rPr>
          <w:rFonts w:hint="default" w:ascii="Times New Roman" w:hAnsi="Times New Roman" w:eastAsia="仿宋_GB2312" w:cs="Times New Roman"/>
          <w:b w:val="0"/>
          <w:bCs w:val="0"/>
          <w:color w:val="auto"/>
          <w:sz w:val="32"/>
          <w:szCs w:val="32"/>
          <w:highlight w:val="none"/>
          <w:u w:val="none" w:color="auto"/>
          <w:lang w:val="en-US" w:eastAsia="zh-CN"/>
        </w:rPr>
        <w:t>对存在手续不全、环保设施未达要求、工艺和设备落后等情形的洗选企业，综合运用法律、经济、技术等行政</w:t>
      </w:r>
      <w:r>
        <w:rPr>
          <w:rFonts w:hint="eastAsia" w:ascii="Times New Roman" w:hAnsi="Times New Roman" w:eastAsia="仿宋_GB2312" w:cs="Times New Roman"/>
          <w:b w:val="0"/>
          <w:bCs w:val="0"/>
          <w:color w:val="auto"/>
          <w:sz w:val="32"/>
          <w:szCs w:val="32"/>
          <w:highlight w:val="none"/>
          <w:u w:val="none" w:color="auto"/>
          <w:lang w:val="en-US" w:eastAsia="zh-CN"/>
        </w:rPr>
        <w:t>、司法</w:t>
      </w:r>
      <w:r>
        <w:rPr>
          <w:rFonts w:hint="default" w:ascii="Times New Roman" w:hAnsi="Times New Roman" w:eastAsia="仿宋_GB2312" w:cs="Times New Roman"/>
          <w:b w:val="0"/>
          <w:bCs w:val="0"/>
          <w:color w:val="auto"/>
          <w:sz w:val="32"/>
          <w:szCs w:val="32"/>
          <w:highlight w:val="none"/>
          <w:u w:val="none" w:color="auto"/>
          <w:lang w:val="en-US" w:eastAsia="zh-CN"/>
        </w:rPr>
        <w:t>手段，依法依规进行处置，全力规范市场秩序，提升行业发展质量。</w:t>
      </w:r>
      <w:r>
        <w:rPr>
          <w:rFonts w:hint="default" w:ascii="Times New Roman" w:hAnsi="Times New Roman" w:eastAsia="楷体_GB2312" w:cs="Times New Roman"/>
          <w:b w:val="0"/>
          <w:bCs w:val="0"/>
          <w:color w:val="auto"/>
          <w:sz w:val="32"/>
          <w:szCs w:val="32"/>
          <w:highlight w:val="none"/>
        </w:rPr>
        <w:t>（</w:t>
      </w:r>
      <w:r>
        <w:rPr>
          <w:rFonts w:hint="default" w:ascii="Times New Roman" w:hAnsi="Times New Roman" w:eastAsia="楷体_GB2312" w:cs="Times New Roman"/>
          <w:b w:val="0"/>
          <w:bCs w:val="0"/>
          <w:color w:val="auto"/>
          <w:sz w:val="32"/>
          <w:szCs w:val="32"/>
          <w:highlight w:val="none"/>
          <w:lang w:eastAsia="zh-CN"/>
        </w:rPr>
        <w:t>责任单位：各区政府均为责任单位、下文不再提及，市</w:t>
      </w:r>
      <w:r>
        <w:rPr>
          <w:rFonts w:hint="default" w:ascii="Times New Roman" w:hAnsi="Times New Roman" w:eastAsia="楷体_GB2312" w:cs="Times New Roman"/>
          <w:b w:val="0"/>
          <w:bCs w:val="0"/>
          <w:color w:val="auto"/>
          <w:sz w:val="32"/>
          <w:szCs w:val="32"/>
          <w:highlight w:val="none"/>
        </w:rPr>
        <w:t>能源局</w:t>
      </w:r>
      <w:r>
        <w:rPr>
          <w:rFonts w:hint="default" w:ascii="Times New Roman" w:hAnsi="Times New Roman" w:eastAsia="楷体_GB2312" w:cs="Times New Roman"/>
          <w:b w:val="0"/>
          <w:bCs w:val="0"/>
          <w:color w:val="auto"/>
          <w:sz w:val="32"/>
          <w:szCs w:val="32"/>
          <w:highlight w:val="none"/>
          <w:lang w:eastAsia="zh-CN"/>
        </w:rPr>
        <w:t>、自然资源局、应急管理局</w:t>
      </w:r>
      <w:r>
        <w:rPr>
          <w:rFonts w:hint="default" w:ascii="Times New Roman" w:hAnsi="Times New Roman" w:eastAsia="楷体_GB2312" w:cs="Times New Roman"/>
          <w:b w:val="0"/>
          <w:bCs w:val="0"/>
          <w:color w:val="auto"/>
          <w:sz w:val="32"/>
          <w:szCs w:val="32"/>
          <w:highlight w:val="none"/>
        </w:rPr>
        <w:t>）</w:t>
      </w:r>
    </w:p>
    <w:p>
      <w:pPr>
        <w:pStyle w:val="10"/>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firstLine="643" w:firstLineChars="200"/>
        <w:jc w:val="both"/>
        <w:textAlignment w:val="auto"/>
        <w:rPr>
          <w:rFonts w:hint="default" w:ascii="Times New Roman" w:hAnsi="Times New Roman" w:eastAsia="楷体_GB2312" w:cs="Times New Roman"/>
          <w:b w:val="0"/>
          <w:bCs w:val="0"/>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u w:val="none" w:color="auto"/>
          <w:lang w:val="en-US" w:eastAsia="zh-CN"/>
        </w:rPr>
        <w:t>制造业，</w:t>
      </w:r>
      <w:r>
        <w:rPr>
          <w:rFonts w:hint="default" w:ascii="Times New Roman" w:hAnsi="Times New Roman" w:eastAsia="仿宋_GB2312" w:cs="Times New Roman"/>
          <w:b w:val="0"/>
          <w:bCs w:val="0"/>
          <w:color w:val="auto"/>
          <w:sz w:val="32"/>
          <w:szCs w:val="32"/>
          <w:highlight w:val="none"/>
          <w:u w:val="none" w:color="auto"/>
          <w:lang w:val="en-US" w:eastAsia="zh-CN"/>
        </w:rPr>
        <w:t>积极推进乌海市制造业高端化、智能化、绿色化发展，聚焦煤焦化工、氯碱化工、BDO、硅基材料等重点产业链锻长板、补短板，促进工业结构整体优化，到2027年底，制造业占规上工业的比重稳步提升，建设智能工厂10个，4个工业产业园全部建成智慧园区，在全区率先实现</w:t>
      </w:r>
      <w:r>
        <w:rPr>
          <w:rFonts w:hint="default" w:ascii="Times New Roman" w:hAnsi="Times New Roman" w:eastAsia="仿宋_GB2312" w:cs="Times New Roman"/>
          <w:b w:val="0"/>
          <w:bCs w:val="0"/>
          <w:color w:val="auto"/>
          <w:kern w:val="0"/>
          <w:sz w:val="32"/>
          <w:szCs w:val="32"/>
          <w:highlight w:val="none"/>
          <w:u w:val="none" w:color="auto"/>
          <w:lang w:val="en-US" w:eastAsia="zh-CN" w:bidi="ar"/>
        </w:rPr>
        <w:t>规模以上工业企业数字化转型全覆盖，</w:t>
      </w:r>
      <w:r>
        <w:rPr>
          <w:rFonts w:hint="default" w:ascii="Times New Roman" w:hAnsi="Times New Roman" w:eastAsia="仿宋_GB2312" w:cs="Times New Roman"/>
          <w:b w:val="0"/>
          <w:bCs w:val="0"/>
          <w:color w:val="auto"/>
          <w:sz w:val="32"/>
          <w:szCs w:val="32"/>
          <w:highlight w:val="none"/>
          <w:u w:val="none" w:color="auto"/>
          <w:lang w:val="en-US" w:eastAsia="zh-CN"/>
        </w:rPr>
        <w:t>全市用水总量控制在3.29亿立方米以内；万元地区生产总值用水量控制在自治区下达管控指标内。</w:t>
      </w:r>
      <w:r>
        <w:rPr>
          <w:rFonts w:hint="default" w:ascii="Times New Roman" w:hAnsi="Times New Roman" w:eastAsia="仿宋_GB2312" w:cs="Times New Roman"/>
          <w:b/>
          <w:bCs/>
          <w:color w:val="auto"/>
          <w:sz w:val="32"/>
          <w:szCs w:val="32"/>
          <w:highlight w:val="none"/>
          <w:u w:val="none" w:color="auto"/>
          <w:lang w:val="en-US" w:eastAsia="zh-CN"/>
        </w:rPr>
        <w:t>1.促进制造业高端化发展，煤焦化工方面，</w:t>
      </w:r>
      <w:r>
        <w:rPr>
          <w:rFonts w:hint="default" w:ascii="Times New Roman" w:hAnsi="Times New Roman" w:eastAsia="仿宋_GB2312" w:cs="Times New Roman"/>
          <w:b w:val="0"/>
          <w:bCs w:val="0"/>
          <w:color w:val="auto"/>
          <w:sz w:val="32"/>
          <w:szCs w:val="32"/>
          <w:highlight w:val="none"/>
          <w:u w:val="none" w:color="auto"/>
          <w:lang w:val="en-US" w:eastAsia="zh-CN"/>
        </w:rPr>
        <w:t>各区落实好属地责任，扎实开展“串珠成链”工作，通过龙头企业牵头、中小企业配套、要素优先引导、政策引领赋能，积极引导煤矿、洗煤、焦化、电厂企业之间签订长协、相互协作、相互入股、相互组团，</w:t>
      </w:r>
      <w:r>
        <w:rPr>
          <w:rFonts w:hint="eastAsia" w:ascii="Times New Roman" w:hAnsi="Times New Roman" w:eastAsia="仿宋_GB2312" w:cs="Times New Roman"/>
          <w:b w:val="0"/>
          <w:bCs w:val="0"/>
          <w:color w:val="auto"/>
          <w:sz w:val="32"/>
          <w:szCs w:val="32"/>
          <w:highlight w:val="none"/>
          <w:u w:val="none" w:color="auto"/>
          <w:lang w:val="en-US" w:eastAsia="zh-CN"/>
        </w:rPr>
        <w:t>助力</w:t>
      </w:r>
      <w:r>
        <w:rPr>
          <w:rFonts w:hint="default" w:ascii="Times New Roman" w:hAnsi="Times New Roman" w:eastAsia="仿宋_GB2312" w:cs="Times New Roman"/>
          <w:b w:val="0"/>
          <w:bCs w:val="0"/>
          <w:color w:val="auto"/>
          <w:sz w:val="32"/>
          <w:szCs w:val="32"/>
          <w:highlight w:val="none"/>
          <w:u w:val="none" w:color="auto"/>
          <w:lang w:val="en-US" w:eastAsia="zh-CN"/>
        </w:rPr>
        <w:t>建设焦化全产业链一体化生产基地，实现产业链从“分散竞争”向“共生共赢转型”。</w:t>
      </w:r>
      <w:r>
        <w:rPr>
          <w:rFonts w:hint="default" w:ascii="Times New Roman" w:hAnsi="Times New Roman" w:eastAsia="仿宋_GB2312" w:cs="Times New Roman"/>
          <w:b/>
          <w:bCs/>
          <w:color w:val="auto"/>
          <w:sz w:val="32"/>
          <w:szCs w:val="32"/>
          <w:highlight w:val="none"/>
          <w:u w:val="none" w:color="auto"/>
          <w:lang w:val="en-US" w:eastAsia="zh-CN"/>
        </w:rPr>
        <w:t>氯碱化工方面，</w:t>
      </w:r>
      <w:r>
        <w:rPr>
          <w:rFonts w:hint="default" w:ascii="Times New Roman" w:hAnsi="Times New Roman" w:eastAsia="仿宋_GB2312" w:cs="Times New Roman"/>
          <w:b w:val="0"/>
          <w:bCs w:val="0"/>
          <w:color w:val="auto"/>
          <w:sz w:val="32"/>
          <w:szCs w:val="32"/>
          <w:highlight w:val="none"/>
          <w:u w:val="none" w:color="auto"/>
          <w:lang w:val="en-US" w:eastAsia="zh-CN"/>
        </w:rPr>
        <w:t>发挥集群化产业发展优势，推广应用电石炉气化工利用、电石渣制活性氧化钙循环利用、显热余热利用、电石自动化出炉等节能减排先进技术改造提升，促进氯碱化工生产工艺低能耗、低汞高效应用和无汞化改造，形成以节能减排和资源综合利用为重点的氯碱化工循环经济体系。</w:t>
      </w:r>
      <w:r>
        <w:rPr>
          <w:rFonts w:hint="default" w:ascii="Times New Roman" w:hAnsi="Times New Roman" w:eastAsia="仿宋_GB2312" w:cs="Times New Roman"/>
          <w:b/>
          <w:bCs/>
          <w:color w:val="auto"/>
          <w:sz w:val="32"/>
          <w:szCs w:val="32"/>
          <w:highlight w:val="none"/>
          <w:u w:val="none" w:color="auto"/>
          <w:lang w:val="en-US" w:eastAsia="zh-CN"/>
        </w:rPr>
        <w:t>精细化工方面，</w:t>
      </w:r>
      <w:r>
        <w:rPr>
          <w:rFonts w:hint="default" w:ascii="Times New Roman" w:hAnsi="Times New Roman" w:eastAsia="仿宋_GB2312" w:cs="Times New Roman"/>
          <w:b w:val="0"/>
          <w:bCs w:val="0"/>
          <w:color w:val="auto"/>
          <w:sz w:val="32"/>
          <w:szCs w:val="32"/>
          <w:highlight w:val="none"/>
          <w:u w:val="none" w:color="auto"/>
          <w:lang w:val="en-US" w:eastAsia="zh-CN"/>
        </w:rPr>
        <w:t>充分发挥化工大宗原料生产集中优势，依托现有化工产业基础，加快发展高附加值的农药</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（医药）</w:t>
      </w:r>
      <w:r>
        <w:rPr>
          <w:rFonts w:hint="default" w:ascii="Times New Roman" w:hAnsi="Times New Roman" w:eastAsia="仿宋_GB2312" w:cs="Times New Roman"/>
          <w:b w:val="0"/>
          <w:bCs w:val="0"/>
          <w:color w:val="auto"/>
          <w:sz w:val="32"/>
          <w:szCs w:val="32"/>
          <w:highlight w:val="none"/>
          <w:u w:val="none" w:color="auto"/>
          <w:lang w:val="en-US" w:eastAsia="zh-CN"/>
        </w:rPr>
        <w:t>中间体、高端电子化学品、染料中间体、氟硅材料等精细化学品，提高产品附加值，壮大精细化工产业规模，提升产业竞争能力，促进产业高端化发展。</w:t>
      </w:r>
      <w:r>
        <w:rPr>
          <w:rFonts w:hint="default" w:ascii="Times New Roman" w:hAnsi="Times New Roman" w:eastAsia="仿宋_GB2312" w:cs="Times New Roman"/>
          <w:b/>
          <w:bCs/>
          <w:color w:val="auto"/>
          <w:sz w:val="32"/>
          <w:szCs w:val="32"/>
          <w:highlight w:val="none"/>
          <w:u w:val="none" w:color="auto"/>
          <w:lang w:val="en-US" w:eastAsia="zh-CN"/>
        </w:rPr>
        <w:t>BDO一体化生产基地方面，</w:t>
      </w:r>
      <w:r>
        <w:rPr>
          <w:rFonts w:hint="default" w:ascii="Times New Roman" w:hAnsi="Times New Roman" w:eastAsia="仿宋_GB2312" w:cs="Times New Roman"/>
          <w:b w:val="0"/>
          <w:bCs w:val="0"/>
          <w:color w:val="auto"/>
          <w:sz w:val="32"/>
          <w:szCs w:val="32"/>
          <w:highlight w:val="none"/>
          <w:u w:val="none" w:color="auto"/>
          <w:lang w:val="en-US" w:eastAsia="zh-CN"/>
        </w:rPr>
        <w:t>推动BDO→PTMEG链条向氨纶、聚氨酯产业拓展，发展差别化氨纶、鞋材用TPU等产品；推动BDO→可降解材料产业链与PBT工程塑料、纤维及高端材料</w:t>
      </w:r>
      <w:r>
        <w:rPr>
          <w:rFonts w:hint="default" w:ascii="Times New Roman" w:hAnsi="Times New Roman" w:eastAsia="楷体_GB2312" w:cs="Times New Roman"/>
          <w:b w:val="0"/>
          <w:bCs w:val="0"/>
          <w:color w:val="auto"/>
          <w:sz w:val="32"/>
          <w:szCs w:val="32"/>
          <w:highlight w:val="none"/>
          <w:u w:val="none" w:color="auto"/>
          <w:lang w:val="en-US" w:eastAsia="zh-CN"/>
        </w:rPr>
        <w:t>（如TPEE弹性体）</w:t>
      </w:r>
      <w:r>
        <w:rPr>
          <w:rFonts w:hint="default" w:ascii="Times New Roman" w:hAnsi="Times New Roman" w:eastAsia="仿宋_GB2312" w:cs="Times New Roman"/>
          <w:b w:val="0"/>
          <w:bCs w:val="0"/>
          <w:color w:val="auto"/>
          <w:sz w:val="32"/>
          <w:szCs w:val="32"/>
          <w:highlight w:val="none"/>
          <w:u w:val="none" w:color="auto"/>
          <w:lang w:val="en-US" w:eastAsia="zh-CN"/>
        </w:rPr>
        <w:t>产品共线生产、柔性调节，推进PDA全自然域生物可降解聚酯新材料、120万吨PBAT项目建设，发展可降解农膜、包装材料等产品及汽车零部件、工业管道阀门件等工程塑料产品；支持BDO→GBL</w:t>
      </w:r>
      <w:r>
        <w:rPr>
          <w:rFonts w:hint="default" w:ascii="Times New Roman" w:hAnsi="Times New Roman" w:eastAsia="楷体_GB2312" w:cs="Times New Roman"/>
          <w:b w:val="0"/>
          <w:bCs w:val="0"/>
          <w:color w:val="auto"/>
          <w:sz w:val="32"/>
          <w:szCs w:val="32"/>
          <w:highlight w:val="none"/>
          <w:u w:val="none" w:color="auto"/>
          <w:lang w:val="en-US" w:eastAsia="zh-CN"/>
        </w:rPr>
        <w:t>（γ-丁内酯）</w:t>
      </w:r>
      <w:r>
        <w:rPr>
          <w:rFonts w:hint="default" w:ascii="Times New Roman" w:hAnsi="Times New Roman" w:eastAsia="仿宋_GB2312" w:cs="Times New Roman"/>
          <w:b w:val="0"/>
          <w:bCs w:val="0"/>
          <w:color w:val="auto"/>
          <w:sz w:val="32"/>
          <w:szCs w:val="32"/>
          <w:highlight w:val="none"/>
          <w:u w:val="none" w:color="auto"/>
          <w:lang w:val="en-US" w:eastAsia="zh-CN"/>
        </w:rPr>
        <w:t>→PVP</w:t>
      </w:r>
      <w:r>
        <w:rPr>
          <w:rFonts w:hint="default" w:ascii="Times New Roman" w:hAnsi="Times New Roman" w:eastAsia="楷体_GB2312" w:cs="Times New Roman"/>
          <w:b w:val="0"/>
          <w:bCs w:val="0"/>
          <w:color w:val="auto"/>
          <w:sz w:val="32"/>
          <w:szCs w:val="32"/>
          <w:highlight w:val="none"/>
          <w:u w:val="none" w:color="auto"/>
          <w:lang w:val="en-US" w:eastAsia="zh-CN"/>
        </w:rPr>
        <w:t>（聚乙烯吡咯烷酮）</w:t>
      </w:r>
      <w:r>
        <w:rPr>
          <w:rFonts w:hint="default" w:ascii="Times New Roman" w:hAnsi="Times New Roman" w:eastAsia="仿宋_GB2312" w:cs="Times New Roman"/>
          <w:b w:val="0"/>
          <w:bCs w:val="0"/>
          <w:color w:val="auto"/>
          <w:sz w:val="32"/>
          <w:szCs w:val="32"/>
          <w:highlight w:val="none"/>
          <w:u w:val="none" w:color="auto"/>
          <w:lang w:val="en-US" w:eastAsia="zh-CN"/>
        </w:rPr>
        <w:t>产业链延伸发展，发展高附加值产业，做好BDO产业链催化剂回收、制备，建设1万吨催化剂生产项目，满足全市BDO及相关装置需求。</w:t>
      </w:r>
      <w:r>
        <w:rPr>
          <w:rFonts w:hint="default" w:ascii="Times New Roman" w:hAnsi="Times New Roman" w:eastAsia="仿宋_GB2312" w:cs="Times New Roman"/>
          <w:b/>
          <w:bCs/>
          <w:color w:val="auto"/>
          <w:sz w:val="32"/>
          <w:szCs w:val="32"/>
          <w:highlight w:val="none"/>
          <w:u w:val="none" w:color="auto"/>
          <w:lang w:val="en-US" w:eastAsia="zh-CN"/>
        </w:rPr>
        <w:t>新材料产业方面，</w:t>
      </w:r>
      <w:r>
        <w:rPr>
          <w:rFonts w:hint="default" w:ascii="Times New Roman" w:hAnsi="Times New Roman" w:eastAsia="仿宋_GB2312" w:cs="Times New Roman"/>
          <w:color w:val="auto"/>
          <w:sz w:val="32"/>
          <w:szCs w:val="32"/>
          <w:highlight w:val="none"/>
          <w:u w:val="none" w:color="auto"/>
          <w:lang w:val="en-US" w:eastAsia="zh-CN"/>
        </w:rPr>
        <w:t>着力推动10万吨碳纤维等项目建设，发展碳纤维复合材料、高性能氟硅材料、芳香族高性能纤维及其复合材料、高端气凝胶、高端精细化学品；布局发展特种钢、功能性膜材料和高性能热塑性树脂等新材料行业。</w:t>
      </w:r>
      <w:r>
        <w:rPr>
          <w:rFonts w:hint="default" w:ascii="Times New Roman" w:hAnsi="Times New Roman" w:eastAsia="仿宋_GB2312" w:cs="Times New Roman"/>
          <w:b/>
          <w:bCs/>
          <w:color w:val="auto"/>
          <w:sz w:val="32"/>
          <w:szCs w:val="32"/>
          <w:highlight w:val="none"/>
          <w:u w:val="none" w:color="auto"/>
          <w:lang w:val="en-US" w:eastAsia="zh-CN"/>
        </w:rPr>
        <w:t>硅基新材料方面，</w:t>
      </w:r>
      <w:r>
        <w:rPr>
          <w:rFonts w:hint="default" w:ascii="Times New Roman" w:hAnsi="Times New Roman" w:eastAsia="仿宋_GB2312" w:cs="Times New Roman"/>
          <w:b w:val="0"/>
          <w:bCs w:val="0"/>
          <w:color w:val="auto"/>
          <w:sz w:val="32"/>
          <w:szCs w:val="32"/>
          <w:highlight w:val="none"/>
          <w:u w:val="none" w:color="auto"/>
          <w:lang w:val="en-US" w:eastAsia="zh-CN"/>
        </w:rPr>
        <w:t>加快32万吨工业硅项目建设，做好有机硅原料供应保障，推动产业链向下游延伸。有序推进40万吨有机硅项目加快建设，加快超组装硅基气凝胶复合材料项目等下游产业建设，延伸发展苯基氯硅烷等新型有机硅单体，拓展苯基硅树脂、苯基硅橡胶等高端下游产品，如室温胶、光刻胶、密封件、医用硅胶制品、婴幼儿硅胶用品、润滑剂、电子器件等，推动硅基新材料一体化产业链为区域绿色转型发展提供更大动能。</w:t>
      </w:r>
      <w:r>
        <w:rPr>
          <w:rFonts w:hint="default" w:ascii="Times New Roman" w:hAnsi="Times New Roman" w:eastAsia="仿宋_GB2312" w:cs="Times New Roman"/>
          <w:b/>
          <w:bCs/>
          <w:color w:val="auto"/>
          <w:sz w:val="32"/>
          <w:szCs w:val="32"/>
          <w:highlight w:val="none"/>
          <w:u w:val="none" w:color="auto"/>
          <w:lang w:val="en-US" w:eastAsia="zh-CN"/>
        </w:rPr>
        <w:t>装备制造业方面，</w:t>
      </w:r>
      <w:r>
        <w:rPr>
          <w:rFonts w:hint="default" w:ascii="Times New Roman" w:hAnsi="Times New Roman" w:eastAsia="仿宋_GB2312" w:cs="Times New Roman"/>
          <w:color w:val="auto"/>
          <w:sz w:val="32"/>
          <w:szCs w:val="32"/>
          <w:highlight w:val="none"/>
          <w:u w:val="none" w:color="auto"/>
          <w:lang w:val="en-US" w:eastAsia="zh-CN"/>
        </w:rPr>
        <w:t>加速新能源装备制造布局，重点加快发展汽车装备制造。大力发展新能源重卡，推动3000台智能矿卡生产基地项目建设，服务于矿山等区域的中短途重载运输；积极推广新能源装载机等电动化工程机械，积极发展化工装备、采煤装备、洗煤装备、氢能储运装备等。</w:t>
      </w:r>
      <w:r>
        <w:rPr>
          <w:rFonts w:hint="default" w:ascii="Times New Roman" w:hAnsi="Times New Roman" w:eastAsia="仿宋_GB2312" w:cs="Times New Roman"/>
          <w:b/>
          <w:bCs/>
          <w:color w:val="auto"/>
          <w:sz w:val="32"/>
          <w:szCs w:val="32"/>
          <w:highlight w:val="none"/>
          <w:u w:val="none" w:color="auto"/>
          <w:lang w:val="en-US" w:eastAsia="zh-CN"/>
        </w:rPr>
        <w:t>2.促进制造业智能化，</w:t>
      </w:r>
      <w:r>
        <w:rPr>
          <w:rFonts w:hint="default" w:ascii="Times New Roman" w:hAnsi="Times New Roman" w:eastAsia="仿宋_GB2312" w:cs="Times New Roman"/>
          <w:b w:val="0"/>
          <w:bCs w:val="0"/>
          <w:color w:val="auto"/>
          <w:sz w:val="32"/>
          <w:szCs w:val="32"/>
          <w:highlight w:val="none"/>
          <w:u w:val="none" w:color="auto"/>
          <w:lang w:val="en-US" w:eastAsia="zh-CN"/>
        </w:rPr>
        <w:t>抢抓乌海市被列为“国家中小企业数字化转型城市试点和自治区制造业数字化转型试点”带来的政策机遇，推进实体经济与数字经济深度融合，加快5G网络全覆盖，提升网络速度和稳定性，满足数字化转型对高速、低时延、广连接的网络需求。推动工业互联网发展，建立完善的工业互联网平台，促进企业间信息互联互通，提升产业链协同效率。推动工业互联网标识解析二级节点向企业提供标识发码、标识解析、标识应用服务，带动更多行业龙头建设企业级节点，实现数据共享、业务互联，培育一批应用创新企业，促进工业企业数字化转型。推进典型行业、重点企业拓展工业互联网IPV6改造应用，支持工业企业开展网络改造，探索IPV6在工业互联网领域的创新应用。通过“普及基础级、培育先进级、打造卓越级”的三级培育路径，在全市范围内普及推广基础级智能工厂建设，实现制造企业智能化改造；重点遴选条件成熟的企业，培育一批技术领先的先进级智能工厂；集中优势资源，力争打造具有行业标杆意义的卓越级智能工厂；通过分层推进、示范引领，全面提升我市制造业智能化发展水平。</w:t>
      </w:r>
      <w:r>
        <w:rPr>
          <w:rFonts w:hint="default" w:ascii="Times New Roman" w:hAnsi="Times New Roman" w:eastAsia="仿宋_GB2312" w:cs="Times New Roman"/>
          <w:b/>
          <w:bCs/>
          <w:color w:val="auto"/>
          <w:sz w:val="32"/>
          <w:szCs w:val="32"/>
          <w:highlight w:val="none"/>
          <w:u w:val="none" w:color="auto"/>
          <w:lang w:val="en-US" w:eastAsia="zh-CN"/>
        </w:rPr>
        <w:t>3.</w:t>
      </w:r>
      <w:r>
        <w:rPr>
          <w:rFonts w:hint="default" w:ascii="Times New Roman" w:hAnsi="Times New Roman" w:eastAsia="仿宋_GB2312" w:cs="Times New Roman"/>
          <w:b/>
          <w:bCs/>
          <w:color w:val="auto"/>
          <w:sz w:val="32"/>
          <w:szCs w:val="32"/>
          <w:highlight w:val="none"/>
          <w:u w:val="none" w:color="auto"/>
          <w:lang w:eastAsia="zh-CN"/>
        </w:rPr>
        <w:t>促进制造业绿色化发展</w:t>
      </w:r>
      <w:r>
        <w:rPr>
          <w:rFonts w:hint="default" w:ascii="Times New Roman" w:hAnsi="Times New Roman" w:eastAsia="仿宋_GB2312" w:cs="Times New Roman"/>
          <w:b/>
          <w:bCs/>
          <w:color w:val="auto"/>
          <w:sz w:val="32"/>
          <w:szCs w:val="32"/>
          <w:highlight w:val="none"/>
          <w:u w:val="none" w:color="auto"/>
          <w:lang w:val="en-US" w:eastAsia="zh-CN"/>
        </w:rPr>
        <w:t>，</w:t>
      </w:r>
      <w:r>
        <w:rPr>
          <w:rFonts w:hint="default" w:ascii="Times New Roman" w:hAnsi="Times New Roman" w:eastAsia="仿宋_GB2312" w:cs="Times New Roman"/>
          <w:b w:val="0"/>
          <w:bCs w:val="0"/>
          <w:color w:val="auto"/>
          <w:sz w:val="32"/>
          <w:szCs w:val="32"/>
          <w:highlight w:val="none"/>
          <w:u w:val="none" w:color="auto"/>
          <w:lang w:val="en-US" w:eastAsia="zh-CN"/>
        </w:rPr>
        <w:t>严格“两高”行业管理，新建项目能效水效须达国家先进水平；对重点用能企业实施技术改造，推动重点行业单位产品能耗达到国家先进水平</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sz w:val="32"/>
          <w:szCs w:val="32"/>
          <w:highlight w:val="none"/>
          <w:u w:val="none" w:color="auto"/>
          <w:lang w:val="en-US" w:eastAsia="zh-CN"/>
        </w:rPr>
        <w:t>推动实施7项节能技改项目；积极推动深度节水工作，严格管控用水总量，持续推动用水效率和效益提升，推进企业节水技改与节水型企业创建，推动实施5项节水技改项目</w:t>
      </w:r>
      <w:r>
        <w:rPr>
          <w:rFonts w:hint="default" w:ascii="Times New Roman" w:hAnsi="Times New Roman" w:eastAsia="楷体_GB2312" w:cs="Times New Roman"/>
          <w:b w:val="0"/>
          <w:bCs w:val="0"/>
          <w:color w:val="auto"/>
          <w:sz w:val="32"/>
          <w:szCs w:val="32"/>
          <w:highlight w:val="none"/>
          <w:u w:val="none" w:color="auto"/>
          <w:lang w:val="en-US" w:eastAsia="zh-CN"/>
        </w:rPr>
        <w:t>（节约用水109万吨</w:t>
      </w:r>
      <w:r>
        <w:rPr>
          <w:rFonts w:hint="default" w:ascii="Times New Roman" w:hAnsi="Times New Roman" w:eastAsia="楷体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，推动创建节水型企业9个</w:t>
      </w:r>
      <w:r>
        <w:rPr>
          <w:rFonts w:hint="default" w:ascii="Times New Roman" w:hAnsi="Times New Roman" w:eastAsia="仿宋_GB2312" w:cs="Times New Roman"/>
          <w:b w:val="0"/>
          <w:bCs w:val="0"/>
          <w:color w:val="auto"/>
          <w:sz w:val="32"/>
          <w:szCs w:val="32"/>
          <w:highlight w:val="none"/>
          <w:u w:val="none" w:color="auto"/>
          <w:lang w:val="en-US" w:eastAsia="zh-CN"/>
        </w:rPr>
        <w:t>；促进全产业链和产品全生命周期绿色化</w:t>
      </w:r>
      <w:r>
        <w:rPr>
          <w:rFonts w:hint="default" w:ascii="Times New Roman" w:hAnsi="Times New Roman" w:eastAsia="仿宋_GB2312" w:cs="Times New Roman"/>
          <w:color w:val="auto"/>
          <w:sz w:val="32"/>
          <w:szCs w:val="32"/>
          <w:lang w:eastAsia="zh-CN"/>
        </w:rPr>
        <w:t>，推动创建自治区级绿色工厂9户</w:t>
      </w:r>
      <w:r>
        <w:rPr>
          <w:rFonts w:hint="default" w:ascii="Times New Roman" w:hAnsi="Times New Roman" w:eastAsia="仿宋_GB2312" w:cs="Times New Roman"/>
          <w:b w:val="0"/>
          <w:bCs w:val="0"/>
          <w:color w:val="auto"/>
          <w:sz w:val="32"/>
          <w:szCs w:val="32"/>
          <w:highlight w:val="none"/>
          <w:u w:val="none" w:color="auto"/>
          <w:lang w:val="en-US" w:eastAsia="zh-CN"/>
        </w:rPr>
        <w:t>。推进能耗双控向碳排放双控转变工作，摸清“碳家底”、建立“碳账户”，逐步对全市重点行业、重点园区、重点企业能</w:t>
      </w:r>
      <w:r>
        <w:rPr>
          <w:rFonts w:hint="eastAsia" w:ascii="Times New Roman" w:hAnsi="Times New Roman" w:eastAsia="楷体_GB2312" w:cs="Times New Roman"/>
          <w:strike w:val="0"/>
          <w:dstrike w:val="0"/>
          <w:snapToGrid w:val="0"/>
          <w:color w:val="auto"/>
          <w:kern w:val="0"/>
          <w:sz w:val="32"/>
          <w:szCs w:val="32"/>
          <w:highlight w:val="none"/>
          <w:u w:val="none" w:color="auto"/>
          <w:lang w:val="en-US" w:eastAsia="zh-CN" w:bidi="ar-SA"/>
        </w:rPr>
        <w:t>（</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碳</w:t>
      </w:r>
      <w:r>
        <w:rPr>
          <w:rFonts w:hint="eastAsia" w:ascii="Times New Roman" w:hAnsi="Times New Roman" w:eastAsia="楷体_GB2312" w:cs="Times New Roman"/>
          <w:strike w:val="0"/>
          <w:dstrike w:val="0"/>
          <w:snapToGrid w:val="0"/>
          <w:color w:val="auto"/>
          <w:kern w:val="0"/>
          <w:sz w:val="32"/>
          <w:szCs w:val="32"/>
          <w:highlight w:val="none"/>
          <w:u w:val="none" w:color="auto"/>
          <w:lang w:val="en-US" w:eastAsia="zh-CN" w:bidi="ar-SA"/>
        </w:rPr>
        <w:t>）</w:t>
      </w:r>
      <w:r>
        <w:rPr>
          <w:rFonts w:hint="default" w:ascii="Times New Roman" w:hAnsi="Times New Roman" w:eastAsia="仿宋_GB2312" w:cs="Times New Roman"/>
          <w:b w:val="0"/>
          <w:bCs w:val="0"/>
          <w:color w:val="auto"/>
          <w:sz w:val="32"/>
          <w:szCs w:val="32"/>
          <w:highlight w:val="none"/>
          <w:u w:val="none" w:color="auto"/>
          <w:lang w:val="en-US" w:eastAsia="zh-CN"/>
        </w:rPr>
        <w:t>数据进行高质量摸底，充分了解全市能耗、碳排放基本情况，定期开展监测分析，进行精准画像；建立碳预算管理体系，探索建立覆盖市、区、重点碳排放单位的三级碳排放预算管理体系，将重点碳排放领域和重点碳排放单位</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（项目）</w:t>
      </w:r>
      <w:r>
        <w:rPr>
          <w:rFonts w:hint="default" w:ascii="Times New Roman" w:hAnsi="Times New Roman" w:eastAsia="仿宋_GB2312" w:cs="Times New Roman"/>
          <w:b w:val="0"/>
          <w:bCs w:val="0"/>
          <w:color w:val="auto"/>
          <w:sz w:val="32"/>
          <w:szCs w:val="32"/>
          <w:highlight w:val="none"/>
          <w:u w:val="none" w:color="auto"/>
          <w:lang w:val="en-US" w:eastAsia="zh-CN"/>
        </w:rPr>
        <w:t>纳入碳排放预算管理，编制年度预算管理方案和长期预算管理草案；实行碳强度综合评价制度，研究制定企业碳排放综合评价指标体系，开展全市重点排放单位碳排放强度综合评价，推动向碳生产力高的优质项目、企业、行业聚集。加强绿色低碳技术开发应用，鼓励企业在煤炭清洁高效利用、新能源开发、储能、氢能、碳捕集利用等重点领域开展能源绿色低碳转型技术研发，引导重点工业行业开展低碳流程再造和数字化转型技术突破。发展循环经济服务体系，聚焦新能源装备全生命周期管理，积极拓展退役风电设备逆向物流、再制造、资源化利用三大环节服务能力；尝试推进“回收—拆解—再生”一体化体系，为鄂尔多斯、阿拉善等周边千万千瓦级新能源基地提供配套服务；同步开展光伏组件、动力电池等新型固废回收技术储备，打造区域循环经济中心。推动大宗固废综合利用，建设大宗固体废弃物综合利用基地，利用区域内粉煤灰、煤矸石、电石渣、矿渣、钢渣、尾矿等废弃物，发展综合利用产业；利用粉煤灰生产高性能矿物掺合料、树脂材料及塑料制品、土壤改良剂和矿物质肥料，通过对粉煤灰进行超细改性处理，生产橡胶填料；利用煤矸石生产高强轻骨料和制备陶瓷空心微珠，生产土壤改良剂、生物质肥料；利用粉煤灰、煤矸石生产道路材料、高性能水泥及预拌混凝土；利用脱硫石膏生产a型高强石膏。</w:t>
      </w:r>
      <w:r>
        <w:rPr>
          <w:rFonts w:hint="default" w:ascii="Times New Roman" w:hAnsi="Times New Roman" w:eastAsia="楷体_GB2312" w:cs="Times New Roman"/>
          <w:b w:val="0"/>
          <w:bCs w:val="0"/>
          <w:color w:val="auto"/>
          <w:sz w:val="32"/>
          <w:szCs w:val="32"/>
          <w:highlight w:val="none"/>
        </w:rPr>
        <w:t>（</w:t>
      </w:r>
      <w:r>
        <w:rPr>
          <w:rFonts w:hint="default" w:ascii="Times New Roman" w:hAnsi="Times New Roman" w:eastAsia="楷体_GB2312" w:cs="Times New Roman"/>
          <w:b w:val="0"/>
          <w:bCs w:val="0"/>
          <w:color w:val="auto"/>
          <w:sz w:val="32"/>
          <w:szCs w:val="32"/>
          <w:highlight w:val="none"/>
          <w:lang w:eastAsia="zh-CN"/>
        </w:rPr>
        <w:t>责任单位：市发改委、水务局、</w:t>
      </w:r>
      <w:r>
        <w:rPr>
          <w:rFonts w:hint="default" w:ascii="Times New Roman" w:hAnsi="Times New Roman" w:eastAsia="楷体_GB2312" w:cs="Times New Roman"/>
          <w:b w:val="0"/>
          <w:bCs w:val="0"/>
          <w:color w:val="auto"/>
          <w:sz w:val="32"/>
          <w:szCs w:val="32"/>
          <w:highlight w:val="none"/>
        </w:rPr>
        <w:t>能源局</w:t>
      </w:r>
      <w:r>
        <w:rPr>
          <w:rFonts w:hint="default" w:ascii="Times New Roman" w:hAnsi="Times New Roman" w:eastAsia="楷体_GB2312" w:cs="Times New Roman"/>
          <w:b w:val="0"/>
          <w:bCs w:val="0"/>
          <w:color w:val="auto"/>
          <w:sz w:val="32"/>
          <w:szCs w:val="32"/>
          <w:highlight w:val="none"/>
          <w:lang w:eastAsia="zh-CN"/>
        </w:rPr>
        <w:t>、工信局、生态环境局、区域经济合作局、各高新技术园区</w:t>
      </w:r>
      <w:r>
        <w:rPr>
          <w:rFonts w:hint="default" w:ascii="Times New Roman" w:hAnsi="Times New Roman" w:eastAsia="楷体_GB2312" w:cs="Times New Roman"/>
          <w:b w:val="0"/>
          <w:bCs w:val="0"/>
          <w:color w:val="auto"/>
          <w:sz w:val="32"/>
          <w:szCs w:val="32"/>
          <w:highlight w:val="none"/>
        </w:rPr>
        <w:t>）</w:t>
      </w:r>
    </w:p>
    <w:p>
      <w:pPr>
        <w:keepNext w:val="0"/>
        <w:keepLines w:val="0"/>
        <w:pageBreakBefore w:val="0"/>
        <w:widowControl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lang w:val="en-US"/>
        </w:rPr>
      </w:pPr>
      <w:r>
        <w:rPr>
          <w:rFonts w:hint="default" w:ascii="Times New Roman" w:hAnsi="Times New Roman" w:eastAsia="楷体_GB2312" w:cs="Times New Roman"/>
          <w:color w:val="auto"/>
          <w:sz w:val="32"/>
          <w:szCs w:val="32"/>
          <w:highlight w:val="none"/>
          <w:u w:val="none" w:color="auto"/>
          <w:lang w:val="en-US" w:eastAsia="zh-CN"/>
        </w:rPr>
        <w:t>（二）积极培育新兴产业。</w:t>
      </w:r>
      <w:r>
        <w:rPr>
          <w:rFonts w:hint="default" w:ascii="Times New Roman" w:hAnsi="Times New Roman" w:eastAsia="仿宋_GB2312" w:cs="Times New Roman"/>
          <w:color w:val="auto"/>
          <w:sz w:val="32"/>
          <w:szCs w:val="32"/>
          <w:highlight w:val="none"/>
          <w:u w:val="none" w:color="auto"/>
          <w:lang w:val="en-US" w:eastAsia="zh-CN"/>
        </w:rPr>
        <w:t>瞄准未来产业发展需要，精准嵌入、主动适配全国未来产业布局，聚焦细分赛道，探索富有地域特色的“单项冠军”。</w:t>
      </w:r>
      <w:r>
        <w:rPr>
          <w:rFonts w:hint="default" w:ascii="Times New Roman" w:hAnsi="Times New Roman" w:eastAsia="仿宋_GB2312" w:cs="Times New Roman"/>
          <w:b/>
          <w:bCs/>
          <w:color w:val="auto"/>
          <w:sz w:val="32"/>
          <w:szCs w:val="32"/>
          <w:highlight w:val="none"/>
          <w:u w:val="none" w:color="auto"/>
          <w:lang w:val="en-US" w:eastAsia="zh-CN"/>
        </w:rPr>
        <w:t>固态电池方面，</w:t>
      </w:r>
      <w:r>
        <w:rPr>
          <w:rFonts w:hint="default" w:ascii="Times New Roman" w:hAnsi="Times New Roman" w:eastAsia="仿宋_GB2312" w:cs="Times New Roman"/>
          <w:b w:val="0"/>
          <w:bCs w:val="0"/>
          <w:color w:val="auto"/>
          <w:sz w:val="32"/>
          <w:szCs w:val="32"/>
          <w:highlight w:val="none"/>
          <w:u w:val="none" w:color="auto"/>
          <w:lang w:val="en-US" w:eastAsia="zh-CN"/>
        </w:rPr>
        <w:t>发展正负极材料和电解质材料，推动固态电池正极材料项目建设，</w:t>
      </w:r>
      <w:r>
        <w:rPr>
          <w:rFonts w:hint="eastAsia" w:ascii="Times New Roman" w:hAnsi="Times New Roman" w:eastAsia="仿宋_GB2312" w:cs="Times New Roman"/>
          <w:b w:val="0"/>
          <w:bCs w:val="0"/>
          <w:color w:val="auto"/>
          <w:sz w:val="32"/>
          <w:szCs w:val="32"/>
          <w:highlight w:val="none"/>
          <w:u w:val="none" w:color="auto"/>
          <w:lang w:val="en-US" w:eastAsia="zh-CN"/>
        </w:rPr>
        <w:t>利用</w:t>
      </w:r>
      <w:r>
        <w:rPr>
          <w:rFonts w:hint="default" w:ascii="Times New Roman" w:hAnsi="Times New Roman" w:eastAsia="仿宋_GB2312" w:cs="Times New Roman"/>
          <w:b w:val="0"/>
          <w:bCs w:val="0"/>
          <w:color w:val="auto"/>
          <w:sz w:val="32"/>
          <w:szCs w:val="32"/>
          <w:highlight w:val="none"/>
          <w:u w:val="none" w:color="auto"/>
          <w:lang w:val="en-US" w:eastAsia="zh-CN"/>
        </w:rPr>
        <w:t>碳酸锂等锂盐产品以及硫铁矿制酸等项目副产铁粉的基础</w:t>
      </w:r>
      <w:r>
        <w:rPr>
          <w:rFonts w:hint="eastAsia" w:ascii="Times New Roman" w:hAnsi="Times New Roman" w:eastAsia="仿宋_GB2312" w:cs="Times New Roman"/>
          <w:b w:val="0"/>
          <w:bCs w:val="0"/>
          <w:color w:val="auto"/>
          <w:sz w:val="32"/>
          <w:szCs w:val="32"/>
          <w:highlight w:val="none"/>
          <w:u w:val="none" w:color="auto"/>
          <w:lang w:val="en-US" w:eastAsia="zh-CN"/>
        </w:rPr>
        <w:t>，</w:t>
      </w:r>
      <w:r>
        <w:rPr>
          <w:rFonts w:hint="default" w:ascii="Times New Roman" w:hAnsi="Times New Roman" w:eastAsia="仿宋_GB2312" w:cs="Times New Roman"/>
          <w:b w:val="0"/>
          <w:bCs w:val="0"/>
          <w:color w:val="auto"/>
          <w:sz w:val="32"/>
          <w:szCs w:val="32"/>
          <w:highlight w:val="none"/>
          <w:u w:val="none" w:color="auto"/>
          <w:lang w:val="en-US" w:eastAsia="zh-CN"/>
        </w:rPr>
        <w:t>发展磷酸铁锂、锰酸锂等固态电池正极材料，着重发展PACK工厂、储能电池、储能控制系统制造等相关产业项目，完善固态电池产业链；重点拓展新能源重卡、无人机、电动垂直起降飞行器（eVTOL）等配套电池供应。延伸发展电解质、电解液溶剂、隔膜等主要产品，谋划引进硫化物、聚合物和氧化物等固态电池电解质材料项目，加快培育固态电池产业集群。</w:t>
      </w:r>
      <w:r>
        <w:rPr>
          <w:rFonts w:hint="default" w:ascii="Times New Roman" w:hAnsi="Times New Roman" w:eastAsia="仿宋_GB2312" w:cs="Times New Roman"/>
          <w:b/>
          <w:bCs/>
          <w:color w:val="auto"/>
          <w:sz w:val="32"/>
          <w:szCs w:val="32"/>
          <w:highlight w:val="none"/>
          <w:u w:val="none" w:color="auto"/>
          <w:lang w:val="en-US" w:eastAsia="zh-CN"/>
        </w:rPr>
        <w:t>低空经济方面，</w:t>
      </w:r>
      <w:r>
        <w:rPr>
          <w:rFonts w:hint="default" w:ascii="Times New Roman" w:hAnsi="Times New Roman" w:eastAsia="仿宋_GB2312" w:cs="Times New Roman"/>
          <w:color w:val="auto"/>
          <w:sz w:val="32"/>
          <w:szCs w:val="32"/>
          <w:highlight w:val="none"/>
          <w:u w:val="none" w:color="auto"/>
          <w:lang w:val="en-US" w:eastAsia="zh-CN"/>
        </w:rPr>
        <w:t>分类有序拓展低空经济应用场景，依托乌海机场开发科普研学、短途运输，依托乌海湖开展空中观光等低空应用场景；乌海职业技术学院与相关公司开展合作，共建人才培养实验班，提升无人机领域的人才培养质量；围绕低空应急救援、医疗救护、社会治理、国土测绘等领域开展相关业务；探索开发低空物流运输航线。完善低空基础设施，按需划设低空空域，培育低空装备制造业。</w:t>
      </w:r>
      <w:r>
        <w:rPr>
          <w:rFonts w:hint="default" w:ascii="Times New Roman" w:hAnsi="Times New Roman" w:eastAsia="楷体_GB2312" w:cs="Times New Roman"/>
          <w:b w:val="0"/>
          <w:bCs w:val="0"/>
          <w:color w:val="auto"/>
          <w:kern w:val="2"/>
          <w:sz w:val="32"/>
          <w:szCs w:val="32"/>
          <w:highlight w:val="none"/>
          <w:u w:val="none" w:color="auto"/>
          <w:shd w:val="clear" w:color="auto" w:fill="auto"/>
          <w:lang w:val="en-US" w:eastAsia="zh-CN" w:bidi="ar-SA"/>
        </w:rPr>
        <w:t>（责任单位：</w:t>
      </w:r>
      <w:r>
        <w:rPr>
          <w:rFonts w:hint="default" w:ascii="Times New Roman" w:hAnsi="Times New Roman" w:eastAsia="楷体_GB2312" w:cs="Times New Roman"/>
          <w:b w:val="0"/>
          <w:bCs w:val="0"/>
          <w:color w:val="auto"/>
          <w:sz w:val="32"/>
          <w:szCs w:val="32"/>
          <w:highlight w:val="none"/>
          <w:lang w:val="en-US" w:eastAsia="zh-CN"/>
        </w:rPr>
        <w:t>市发改委、工信局、能源局、交通局、乌海职业技术学院</w:t>
      </w:r>
      <w:r>
        <w:rPr>
          <w:rFonts w:hint="default" w:ascii="Times New Roman" w:hAnsi="Times New Roman" w:eastAsia="楷体_GB2312" w:cs="Times New Roman"/>
          <w:b w:val="0"/>
          <w:bCs w:val="0"/>
          <w:color w:val="auto"/>
          <w:spacing w:val="-6"/>
          <w:kern w:val="2"/>
          <w:sz w:val="32"/>
          <w:szCs w:val="32"/>
          <w:highlight w:val="none"/>
          <w:u w:val="none" w:color="auto"/>
          <w:shd w:val="clear" w:color="auto" w:fill="auto"/>
          <w:lang w:val="en-US" w:eastAsia="zh-CN" w:bidi="ar-SA"/>
        </w:rPr>
        <w:t>）</w:t>
      </w:r>
    </w:p>
    <w:p>
      <w:pPr>
        <w:keepNext w:val="0"/>
        <w:keepLines w:val="0"/>
        <w:pageBreakBefore w:val="0"/>
        <w:widowControl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（三）加快发展现代服务业。</w:t>
      </w:r>
      <w:r>
        <w:rPr>
          <w:rFonts w:hint="default" w:ascii="Times New Roman" w:hAnsi="Times New Roman" w:eastAsia="仿宋_GB2312" w:cs="Times New Roman"/>
          <w:b w:val="0"/>
          <w:bCs w:val="0"/>
          <w:color w:val="auto"/>
          <w:sz w:val="32"/>
          <w:szCs w:val="32"/>
          <w:highlight w:val="none"/>
          <w:u w:val="none" w:color="auto"/>
          <w:lang w:val="en-US" w:eastAsia="zh-CN"/>
        </w:rPr>
        <w:t>持续推进生产性服务业向专业化和价值链高端延伸，生活性服务业向高品质和多样化升级，构建优质高效的服务业新体系。</w:t>
      </w:r>
      <w:r>
        <w:rPr>
          <w:rFonts w:hint="default" w:ascii="Times New Roman" w:hAnsi="Times New Roman" w:eastAsia="仿宋_GB2312" w:cs="Times New Roman"/>
          <w:b/>
          <w:bCs/>
          <w:color w:val="auto"/>
          <w:sz w:val="32"/>
          <w:szCs w:val="32"/>
          <w:highlight w:val="none"/>
          <w:u w:val="none" w:color="auto"/>
          <w:lang w:val="en-US" w:eastAsia="zh-CN"/>
        </w:rPr>
        <w:t>生产性服务业方面，</w:t>
      </w:r>
      <w:r>
        <w:rPr>
          <w:rFonts w:hint="default" w:ascii="Times New Roman" w:hAnsi="Times New Roman" w:eastAsia="仿宋_GB2312" w:cs="Times New Roman"/>
          <w:b w:val="0"/>
          <w:bCs w:val="0"/>
          <w:color w:val="auto"/>
          <w:sz w:val="32"/>
          <w:szCs w:val="32"/>
          <w:highlight w:val="none"/>
          <w:u w:val="none" w:color="auto"/>
          <w:lang w:val="en-US" w:eastAsia="zh-CN"/>
        </w:rPr>
        <w:t>要全力规范煤炭、化工原料等工业品商贸运行，</w:t>
      </w:r>
      <w:r>
        <w:rPr>
          <w:rFonts w:hint="default" w:ascii="Times New Roman" w:hAnsi="Times New Roman" w:eastAsia="仿宋_GB2312" w:cs="Times New Roman"/>
          <w:color w:val="auto"/>
          <w:sz w:val="32"/>
          <w:szCs w:val="32"/>
          <w:highlight w:val="none"/>
          <w:u w:val="none" w:color="auto"/>
          <w:lang w:val="en-US" w:eastAsia="zh-CN"/>
        </w:rPr>
        <w:t>将BDO、固态电池、煤焦化工、硅基新材料等现有产业链作为服务重点，利用现有能源和产业基础，培育一批生产性服务业企业，提供前期咨询、建设管理、智能运维等服务，确保将节能节水、数字化改造、金融支持等服务业增加值就地转化。</w:t>
      </w:r>
      <w:r>
        <w:rPr>
          <w:rFonts w:hint="default" w:ascii="Times New Roman" w:hAnsi="Times New Roman" w:eastAsia="仿宋_GB2312" w:cs="Times New Roman"/>
          <w:sz w:val="32"/>
          <w:szCs w:val="32"/>
          <w:highlight w:val="none"/>
        </w:rPr>
        <w:t>设立</w:t>
      </w:r>
      <w:r>
        <w:rPr>
          <w:rFonts w:hint="default" w:ascii="Times New Roman" w:hAnsi="Times New Roman" w:eastAsia="仿宋_GB2312" w:cs="Times New Roman"/>
          <w:sz w:val="32"/>
          <w:szCs w:val="32"/>
          <w:highlight w:val="none"/>
          <w:lang w:eastAsia="zh-CN"/>
        </w:rPr>
        <w:t>科创产业发展</w:t>
      </w:r>
      <w:r>
        <w:rPr>
          <w:rFonts w:hint="default" w:ascii="Times New Roman" w:hAnsi="Times New Roman" w:eastAsia="仿宋_GB2312" w:cs="Times New Roman"/>
          <w:sz w:val="32"/>
          <w:szCs w:val="32"/>
          <w:highlight w:val="none"/>
        </w:rPr>
        <w:t>基金，</w:t>
      </w:r>
      <w:r>
        <w:rPr>
          <w:rFonts w:hint="default" w:ascii="Times New Roman" w:hAnsi="Times New Roman" w:eastAsia="仿宋_GB2312" w:cs="Times New Roman"/>
          <w:sz w:val="32"/>
          <w:szCs w:val="32"/>
          <w:highlight w:val="none"/>
          <w:lang w:eastAsia="zh-CN"/>
        </w:rPr>
        <w:t>重点围绕</w:t>
      </w:r>
      <w:r>
        <w:rPr>
          <w:rFonts w:hint="default" w:ascii="Times New Roman" w:hAnsi="Times New Roman" w:eastAsia="仿宋_GB2312" w:cs="Times New Roman"/>
          <w:sz w:val="32"/>
          <w:szCs w:val="32"/>
          <w:highlight w:val="none"/>
          <w:lang w:val="en-US" w:eastAsia="zh-CN"/>
        </w:rPr>
        <w:t>固态电池一体化、BDO一体化、有机硅一体化等重点产业链实施价值投资，2027年底前支持1个及以上重点重大项目投放。</w:t>
      </w:r>
      <w:r>
        <w:rPr>
          <w:rFonts w:hint="default" w:ascii="Times New Roman" w:hAnsi="Times New Roman" w:eastAsia="仿宋_GB2312" w:cs="Times New Roman"/>
          <w:b/>
          <w:bCs/>
          <w:color w:val="auto"/>
          <w:sz w:val="32"/>
          <w:szCs w:val="32"/>
          <w:highlight w:val="none"/>
          <w:u w:val="none" w:color="auto"/>
          <w:lang w:val="en-US" w:eastAsia="zh-CN"/>
        </w:rPr>
        <w:t>生活性服务业方面，</w:t>
      </w:r>
      <w:r>
        <w:rPr>
          <w:rFonts w:hint="default" w:ascii="Times New Roman" w:hAnsi="Times New Roman" w:eastAsia="仿宋_GB2312" w:cs="Times New Roman"/>
          <w:b w:val="0"/>
          <w:bCs w:val="0"/>
          <w:color w:val="auto"/>
          <w:sz w:val="32"/>
          <w:szCs w:val="32"/>
          <w:highlight w:val="none"/>
          <w:u w:val="none" w:color="auto"/>
          <w:lang w:val="en-US" w:eastAsia="zh-CN"/>
        </w:rPr>
        <w:t>进一步打响“沙漠看海·中国乌海”文旅品牌，整合沙漠探险、湖泊休闲、生态观光等特色资源，完善基础设施，推动创建乌兰布和乌海湖国家级旅游度假区。加强与北京、上海等航班目的地城市和银川、呼和浩特等高铁直达城市的合作交流；以文旅产业带动住宿餐饮、购物娱乐等商贸服务业繁荣发展，打造区域文旅消费中心。组织好“约惠乌海 畅享生活”系列促消费活动，全域推进一刻钟社区生活圈建设，引进新业态新场景，提升生活圈品质。</w:t>
      </w:r>
      <w:r>
        <w:rPr>
          <w:rFonts w:hint="default" w:ascii="Times New Roman" w:hAnsi="Times New Roman" w:eastAsia="仿宋_GB2312" w:cs="Times New Roman"/>
          <w:color w:val="auto"/>
          <w:kern w:val="2"/>
          <w:sz w:val="32"/>
          <w:szCs w:val="32"/>
          <w:highlight w:val="none"/>
          <w:u w:val="none" w:color="auto"/>
          <w:lang w:val="en-US" w:eastAsia="zh-CN" w:bidi="ar-SA"/>
        </w:rPr>
        <w:t>科学规划设置开发强度、城市功能定位和形态，全力打造好滨河二期两个“好房子”试点项目，积极鼓励第四代住宅建设。</w:t>
      </w:r>
      <w:r>
        <w:rPr>
          <w:rFonts w:hint="default" w:ascii="Times New Roman" w:hAnsi="Times New Roman" w:eastAsia="楷体_GB2312" w:cs="Times New Roman"/>
          <w:color w:val="auto"/>
          <w:sz w:val="32"/>
          <w:szCs w:val="32"/>
          <w:highlight w:val="none"/>
          <w:u w:val="none" w:color="auto"/>
          <w:lang w:val="en-US" w:eastAsia="zh-CN"/>
        </w:rPr>
        <w:t>（责任单位：市财政局、水务局、工信局、商务局、文旅局、住建局）</w:t>
      </w:r>
    </w:p>
    <w:p>
      <w:pPr>
        <w:keepNext w:val="0"/>
        <w:keepLines w:val="0"/>
        <w:pageBreakBefore w:val="0"/>
        <w:widowControl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（五）大力发展特色农业。</w:t>
      </w:r>
      <w:r>
        <w:rPr>
          <w:rFonts w:hint="default" w:ascii="Times New Roman" w:hAnsi="Times New Roman" w:eastAsia="仿宋_GB2312" w:cs="Times New Roman"/>
          <w:color w:val="auto"/>
          <w:sz w:val="32"/>
          <w:szCs w:val="32"/>
          <w:highlight w:val="none"/>
          <w:u w:val="none" w:color="auto"/>
          <w:lang w:val="en-US" w:eastAsia="zh-CN"/>
        </w:rPr>
        <w:t>以建设城郊型精品农业为目标，在完成自治区下达粮食生产任务前提下，加强葡萄基地建设，扩面积、优品种、提质效，提升“乌海葡萄”公共区域品牌知名度和影响力。扩大设施农业种植面积，重点发展蔬菜、水果，适度发展畜禽标准化、规模化养殖。以高标准农田为基础，推动万亩优质粮食种植基地建设，推广滴灌、微灌、水肥一体化等农业高效节水灌溉技术，推动农业全域节水，严控农业面源污染，实现农业绿色高效发展。延伸农牧业产业链，推进农畜产品精深加工，大力发展农业旅游，促进农文旅体商融合发展。</w:t>
      </w:r>
      <w:r>
        <w:rPr>
          <w:rFonts w:hint="default" w:ascii="Times New Roman" w:hAnsi="Times New Roman" w:eastAsia="楷体_GB2312" w:cs="Times New Roman"/>
          <w:color w:val="auto"/>
          <w:sz w:val="32"/>
          <w:szCs w:val="32"/>
          <w:highlight w:val="none"/>
          <w:u w:val="none" w:color="auto"/>
          <w:lang w:val="en-US" w:eastAsia="zh-CN"/>
        </w:rPr>
        <w:t>（责任单位：市农牧局、文旅局）</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黑体" w:cs="Times New Roman"/>
          <w:color w:val="auto"/>
          <w:sz w:val="32"/>
          <w:szCs w:val="32"/>
          <w:highlight w:val="none"/>
          <w:u w:val="none" w:color="auto"/>
          <w:lang w:val="en-US" w:eastAsia="zh-CN"/>
        </w:rPr>
        <w:t>三、着力推动能源结构调整</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bookmarkStart w:id="0" w:name="OLE_LINK3"/>
      <w:r>
        <w:rPr>
          <w:rFonts w:hint="default" w:ascii="Times New Roman" w:hAnsi="Times New Roman" w:eastAsia="楷体_GB2312" w:cs="Times New Roman"/>
          <w:color w:val="auto"/>
          <w:sz w:val="32"/>
          <w:szCs w:val="32"/>
          <w:highlight w:val="none"/>
          <w:u w:val="none" w:color="auto"/>
          <w:lang w:val="en-US" w:eastAsia="zh-CN"/>
        </w:rPr>
        <w:t>（一）持续推动火电绿色转型</w:t>
      </w:r>
      <w:bookmarkEnd w:id="0"/>
      <w:r>
        <w:rPr>
          <w:rFonts w:hint="default" w:ascii="Times New Roman" w:hAnsi="Times New Roman" w:eastAsia="楷体_GB2312" w:cs="Times New Roman"/>
          <w:color w:val="auto"/>
          <w:sz w:val="32"/>
          <w:szCs w:val="32"/>
          <w:highlight w:val="none"/>
          <w:u w:val="none" w:color="auto"/>
          <w:lang w:val="en-US" w:eastAsia="zh-CN"/>
        </w:rPr>
        <w:t>。</w:t>
      </w:r>
      <w:bookmarkStart w:id="1" w:name="OLE_LINK1"/>
      <w:r>
        <w:rPr>
          <w:rFonts w:hint="default" w:ascii="Times New Roman" w:hAnsi="Times New Roman" w:eastAsia="仿宋_GB2312" w:cs="Times New Roman"/>
          <w:color w:val="auto"/>
          <w:sz w:val="32"/>
          <w:szCs w:val="32"/>
          <w:highlight w:val="none"/>
          <w:u w:val="none" w:color="auto"/>
          <w:lang w:val="en-US" w:eastAsia="zh-CN"/>
        </w:rPr>
        <w:t>加快完成西来峰煤电机组灵活性改造，积极推动东源低热值煤发电机组建成投运，有序引导临近服役期煤电机组淘汰关停。加大煤电机组“三改联动”和节水改造力度，全面实施煤电企业综合节能改造。结合国家关于煤电低碳化技术探索示范与推广应用的政策导向，支持具备改造潜力的煤电企业通过技术升级、功能转变和系统优化，进一步提升煤电清洁高效利用水平，支撑能源结构向绿色低碳平稳过渡。到2027年底，公网煤电机组实现出力降至额定容量30%以下并稳定运行，深度调峰能力全面提升；新增建成煤电机组35万千瓦以上，在保障民生供热的前提下，推动70万千瓦煤电机组具备淘汰关停条件。</w:t>
      </w:r>
      <w:bookmarkEnd w:id="1"/>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b w:val="0"/>
          <w:bCs w:val="0"/>
          <w:color w:val="auto"/>
          <w:kern w:val="2"/>
          <w:sz w:val="32"/>
          <w:szCs w:val="32"/>
          <w:highlight w:val="none"/>
          <w:u w:val="none" w:color="auto"/>
          <w:shd w:val="clear" w:color="auto" w:fill="auto"/>
          <w:lang w:val="en-US" w:eastAsia="zh-CN" w:bidi="ar-SA"/>
        </w:rPr>
        <w:t>责任单位：</w:t>
      </w:r>
      <w:r>
        <w:rPr>
          <w:rFonts w:hint="default" w:ascii="Times New Roman" w:hAnsi="Times New Roman" w:eastAsia="楷体_GB2312" w:cs="Times New Roman"/>
          <w:color w:val="auto"/>
          <w:sz w:val="32"/>
          <w:szCs w:val="32"/>
          <w:highlight w:val="none"/>
          <w:lang w:val="en-US" w:eastAsia="zh-CN"/>
        </w:rPr>
        <w:t>市能源局）</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（二）壮大风光等新能源规模。</w:t>
      </w:r>
      <w:r>
        <w:rPr>
          <w:rFonts w:hint="default" w:ascii="Times New Roman" w:hAnsi="Times New Roman" w:eastAsia="仿宋_GB2312" w:cs="Times New Roman"/>
          <w:color w:val="auto"/>
          <w:sz w:val="32"/>
          <w:szCs w:val="32"/>
          <w:highlight w:val="none"/>
          <w:u w:val="none" w:color="auto"/>
          <w:lang w:val="en-US" w:eastAsia="zh-CN"/>
        </w:rPr>
        <w:t>结合矿山治理和沉陷区治理，积极推进黄河海勃湾水库清淤和矿区治理一体化试点项目，有序开发可再生能源，促进可再生能源与相关产业的融合发展。推动市场化新能源项目建设，加快建设工业园区绿色供电项目、源网荷储一体化项目；加快增量配电网试点项目建设，探索增量配电网营收模式。科学布局制氢、储氢、输氢、用氢等氢能源产业，加强与周边地区绿电、绿氢合作，积极推进工业领域电气化及绿氢在化工、冶金等领域应用，着力打造乌海及周边地区绿色能源消纳基地。全力推动零碳园区创建达效，以“双碳”目标为引领，聚焦全产业链降碳增效的集成化实践，申报并建设乌海市高新区零碳园区，推动零碳园区与数字园区深度融合。到2027年底，新能源新增装机力争新增50万千瓦以上，推动“阿电入乌”装机力争达到400万千瓦，力争“巴氢入乌”绿氢管道完成核准。</w:t>
      </w:r>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b w:val="0"/>
          <w:bCs w:val="0"/>
          <w:color w:val="auto"/>
          <w:kern w:val="2"/>
          <w:sz w:val="32"/>
          <w:szCs w:val="32"/>
          <w:highlight w:val="none"/>
          <w:u w:val="none" w:color="auto"/>
          <w:shd w:val="clear" w:color="auto" w:fill="auto"/>
          <w:lang w:val="en-US" w:eastAsia="zh-CN" w:bidi="ar-SA"/>
        </w:rPr>
        <w:t>责任单位：</w:t>
      </w:r>
      <w:r>
        <w:rPr>
          <w:rFonts w:hint="default" w:ascii="Times New Roman" w:hAnsi="Times New Roman" w:eastAsia="楷体_GB2312" w:cs="Times New Roman"/>
          <w:color w:val="auto"/>
          <w:sz w:val="32"/>
          <w:szCs w:val="32"/>
          <w:highlight w:val="none"/>
          <w:lang w:val="en-US" w:eastAsia="zh-CN"/>
        </w:rPr>
        <w:t>市能源局、水务局、乌海高新区管委会、乌海供电公司）</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u w:val="none" w:color="auto"/>
          <w:lang w:val="en-US" w:eastAsia="zh-CN"/>
        </w:rPr>
        <w:t>（三）加快构建新型电力系统。</w:t>
      </w:r>
      <w:r>
        <w:rPr>
          <w:rFonts w:hint="default" w:ascii="Times New Roman" w:hAnsi="Times New Roman" w:eastAsia="仿宋_GB2312" w:cs="Times New Roman"/>
          <w:color w:val="auto"/>
          <w:sz w:val="32"/>
          <w:szCs w:val="32"/>
          <w:highlight w:val="none"/>
          <w:u w:val="none" w:color="auto"/>
          <w:lang w:val="en-US" w:eastAsia="zh-CN"/>
        </w:rPr>
        <w:t>建成海南500千伏变电站、金湖主变扩建、2025年城网改造工程、海南配套220千伏线路、长虹110千伏输变电工程、乌海抽蓄500千伏送出工程等一批电网项目，进一步完善500千伏和220千伏电网网架。加快配电网智能化改造，满足分布式可再生能源直接接入配电网需求；谋划打通周边地区至乌海的输电线路通道，为建设绿色能源消纳基地提供坚实支持。加强储能设施建设，推进20万千瓦固态电池独立新型储能项目建设，鼓励多元化布局储能项目，深入挖掘电力灵活性资源，推进负荷柔性改造，积极推动虚拟电厂建设。到2027年底，至少新投产1座500千伏变电站、1座110千伏变电站</w:t>
      </w:r>
      <w:r>
        <w:rPr>
          <w:rFonts w:hint="eastAsia" w:ascii="Times New Roman" w:hAnsi="Times New Roman" w:eastAsia="仿宋_GB2312" w:cs="Times New Roman"/>
          <w:color w:val="auto"/>
          <w:sz w:val="32"/>
          <w:szCs w:val="32"/>
          <w:highlight w:val="none"/>
          <w:u w:val="none" w:color="auto"/>
          <w:lang w:val="en-US" w:eastAsia="zh-CN"/>
        </w:rPr>
        <w:t>，</w:t>
      </w:r>
      <w:r>
        <w:rPr>
          <w:rFonts w:hint="default" w:ascii="Times New Roman" w:hAnsi="Times New Roman" w:eastAsia="仿宋_GB2312" w:cs="Times New Roman"/>
          <w:color w:val="auto"/>
          <w:sz w:val="32"/>
          <w:szCs w:val="32"/>
          <w:highlight w:val="none"/>
          <w:u w:val="none" w:color="auto"/>
          <w:lang w:val="en-US" w:eastAsia="zh-CN"/>
        </w:rPr>
        <w:t>储能规模达到45万千瓦以上</w:t>
      </w:r>
      <w:r>
        <w:rPr>
          <w:rFonts w:hint="eastAsia" w:ascii="Times New Roman" w:hAnsi="Times New Roman" w:eastAsia="仿宋_GB2312" w:cs="Times New Roman"/>
          <w:color w:val="auto"/>
          <w:sz w:val="32"/>
          <w:szCs w:val="32"/>
          <w:highlight w:val="none"/>
          <w:u w:val="none" w:color="auto"/>
          <w:lang w:val="en-US" w:eastAsia="zh-CN"/>
        </w:rPr>
        <w:t>，</w:t>
      </w:r>
      <w:r>
        <w:rPr>
          <w:rFonts w:hint="default" w:ascii="Times New Roman" w:hAnsi="Times New Roman" w:eastAsia="仿宋_GB2312" w:cs="Times New Roman"/>
          <w:color w:val="auto"/>
          <w:sz w:val="32"/>
          <w:szCs w:val="32"/>
          <w:highlight w:val="none"/>
          <w:u w:val="none" w:color="auto"/>
          <w:lang w:val="en-US" w:eastAsia="zh-CN"/>
        </w:rPr>
        <w:t>建成至少1个虚拟电厂示范项目。</w:t>
      </w:r>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b w:val="0"/>
          <w:bCs w:val="0"/>
          <w:color w:val="auto"/>
          <w:kern w:val="2"/>
          <w:sz w:val="32"/>
          <w:szCs w:val="32"/>
          <w:highlight w:val="none"/>
          <w:u w:val="none" w:color="auto"/>
          <w:shd w:val="clear" w:color="auto" w:fill="auto"/>
          <w:lang w:val="en-US" w:eastAsia="zh-CN" w:bidi="ar-SA"/>
        </w:rPr>
        <w:t>责任单位：</w:t>
      </w:r>
      <w:r>
        <w:rPr>
          <w:rFonts w:hint="default" w:ascii="Times New Roman" w:hAnsi="Times New Roman" w:eastAsia="楷体_GB2312" w:cs="Times New Roman"/>
          <w:color w:val="auto"/>
          <w:sz w:val="32"/>
          <w:szCs w:val="32"/>
          <w:highlight w:val="none"/>
          <w:lang w:val="en-US" w:eastAsia="zh-CN"/>
        </w:rPr>
        <w:t>市能源局、工信局、乌海超高压供电公司、乌海供电公司）</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黑体" w:cs="Times New Roman"/>
          <w:color w:val="auto"/>
          <w:sz w:val="32"/>
          <w:szCs w:val="32"/>
          <w:highlight w:val="none"/>
          <w:u w:val="none" w:color="auto"/>
          <w:lang w:val="en-US" w:eastAsia="zh-CN"/>
        </w:rPr>
        <w:t>四、大力优化交通运输结构</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（一）推动大宗货物运输“公转铁”。</w:t>
      </w:r>
      <w:r>
        <w:rPr>
          <w:rFonts w:hint="default" w:ascii="Times New Roman" w:hAnsi="Times New Roman" w:eastAsia="仿宋_GB2312" w:cs="Times New Roman"/>
          <w:b w:val="0"/>
          <w:bCs w:val="0"/>
          <w:color w:val="auto"/>
          <w:sz w:val="32"/>
          <w:szCs w:val="32"/>
          <w:highlight w:val="none"/>
          <w:u w:val="none" w:color="auto"/>
          <w:lang w:val="en-US" w:eastAsia="zh-CN"/>
        </w:rPr>
        <w:t>加快推动乌海经济开发区低碳产业园铁路专用线、黄公铁路至石嘴山市惠农区铁路专用线、乌吉铁路扩能改造项目开工建设，</w:t>
      </w:r>
      <w:r>
        <w:rPr>
          <w:rFonts w:hint="default" w:ascii="Times New Roman" w:hAnsi="Times New Roman" w:eastAsia="仿宋_GB2312" w:cs="Times New Roman"/>
          <w:sz w:val="32"/>
          <w:szCs w:val="32"/>
          <w:lang w:val="en-US" w:eastAsia="zh-CN"/>
        </w:rPr>
        <w:t>支持既有专用线扩能改造，</w:t>
      </w:r>
      <w:r>
        <w:rPr>
          <w:rFonts w:hint="default" w:ascii="Times New Roman" w:hAnsi="Times New Roman" w:eastAsia="仿宋_GB2312" w:cs="Times New Roman"/>
          <w:color w:val="auto"/>
          <w:sz w:val="32"/>
          <w:szCs w:val="32"/>
          <w:highlight w:val="none"/>
          <w:u w:val="none" w:color="auto"/>
          <w:lang w:val="en-US" w:eastAsia="zh-CN"/>
        </w:rPr>
        <w:t>协调简化</w:t>
      </w:r>
      <w:r>
        <w:rPr>
          <w:rFonts w:hint="default" w:ascii="Times New Roman" w:hAnsi="Times New Roman" w:eastAsia="仿宋_GB2312" w:cs="Times New Roman"/>
          <w:b w:val="0"/>
          <w:bCs w:val="0"/>
          <w:color w:val="auto"/>
          <w:sz w:val="32"/>
          <w:szCs w:val="32"/>
          <w:highlight w:val="none"/>
          <w:u w:val="none" w:color="auto"/>
          <w:lang w:val="en-US" w:eastAsia="zh-CN"/>
        </w:rPr>
        <w:t>东乌铁路交接手续，减少交接作业时间，提高列车周转效率，保障车流顺畅运行。</w:t>
      </w:r>
      <w:r>
        <w:rPr>
          <w:rFonts w:hint="default" w:ascii="Times New Roman" w:hAnsi="Times New Roman" w:eastAsia="仿宋_GB2312" w:cs="Times New Roman"/>
          <w:color w:val="auto"/>
          <w:sz w:val="32"/>
          <w:szCs w:val="32"/>
          <w:highlight w:val="none"/>
          <w:u w:val="none" w:color="auto"/>
          <w:lang w:val="en-US" w:eastAsia="zh-CN"/>
        </w:rPr>
        <w:t>提高集装箱箱源供给保障和循环利用率，鼓励煤炭等散堆货物入箱发运。提升乌海西站场站发运能力、增加装卸设备、使用集装箱运输等措施，</w:t>
      </w:r>
      <w:r>
        <w:rPr>
          <w:rFonts w:hint="default" w:ascii="Times New Roman" w:hAnsi="Times New Roman" w:eastAsia="仿宋_GB2312" w:cs="Times New Roman"/>
          <w:sz w:val="32"/>
          <w:szCs w:val="32"/>
          <w:lang w:val="en-US" w:eastAsia="zh-CN"/>
        </w:rPr>
        <w:t>不断提高铁路货运量占比。</w:t>
      </w:r>
      <w:r>
        <w:rPr>
          <w:rFonts w:hint="default" w:ascii="Times New Roman" w:hAnsi="Times New Roman" w:eastAsia="楷体_GB2312" w:cs="Times New Roman"/>
          <w:color w:val="auto"/>
          <w:sz w:val="32"/>
          <w:szCs w:val="32"/>
          <w:highlight w:val="none"/>
          <w:u w:val="none" w:color="auto"/>
          <w:lang w:val="en-US" w:eastAsia="zh-CN"/>
        </w:rPr>
        <w:t>（责任单位：市交通局、呼铁局）</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（二）推动公路运输绿色发展。</w:t>
      </w:r>
      <w:r>
        <w:rPr>
          <w:rFonts w:hint="default" w:ascii="Times New Roman" w:hAnsi="Times New Roman" w:eastAsia="仿宋_GB2312" w:cs="Times New Roman"/>
          <w:sz w:val="32"/>
          <w:szCs w:val="32"/>
          <w:lang w:val="en-US" w:eastAsia="zh-CN"/>
        </w:rPr>
        <w:t>开展物流大规模设备更新，鼓励企业使用符合标准的低碳环保车型，逐年提高在城市配送、邮政快递等领域新能源物流车占比。严格执行国家第六阶段机动车污染物排放标准，加大对全市矿卡尾气检验检测力度，严厉打击检测机构造假，积极发展零碳道路运输和汽车双挂列车等示范线路和场景，推动新能源重型装备规模化发展。借鉴先进地区经验做法，打造重型货车运输新能源化示范物流园区，尝试推动燃油重卡改换电动车头，积极引导焦化、钢铁、洗煤等重点行业企业大宗物料和产品市域内公路运输新能源化。在火电、钢铁、煤炭等行业和物流园区推广“新能源重卡+集装箱”运输模式。鼓励近距离煤焦化上下游企业之间采用管道、皮带等运输方式进行原辅料输送，构建循环经济链条，减少运输过程中造成的扬尘等污染。到2027年底，全部淘汰国三及以下排放标准营运类老旧货车，实现公路运输零碳排放运输场景，预期形成一套可复制、可推广的公路典型运输和设施零碳发展经验和模式，为行业绿色低碳转型提供示范和引领。</w:t>
      </w:r>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b w:val="0"/>
          <w:bCs w:val="0"/>
          <w:color w:val="auto"/>
          <w:kern w:val="2"/>
          <w:sz w:val="32"/>
          <w:szCs w:val="32"/>
          <w:highlight w:val="none"/>
          <w:u w:val="none" w:color="auto"/>
          <w:shd w:val="clear" w:color="auto" w:fill="auto"/>
          <w:lang w:val="en-US" w:eastAsia="zh-CN" w:bidi="ar-SA"/>
        </w:rPr>
        <w:t>责任单位：</w:t>
      </w:r>
      <w:r>
        <w:rPr>
          <w:rFonts w:hint="default" w:ascii="Times New Roman" w:hAnsi="Times New Roman" w:eastAsia="楷体_GB2312" w:cs="Times New Roman"/>
          <w:color w:val="auto"/>
          <w:sz w:val="32"/>
          <w:szCs w:val="32"/>
          <w:highlight w:val="none"/>
          <w:lang w:val="en-US" w:eastAsia="zh-CN"/>
        </w:rPr>
        <w:t>市交通局、工信局、能源局、邮政管理局、市场监督管理局、生态环境局、各高新技术园区）</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（三）构建现代物流运行体系。</w:t>
      </w:r>
      <w:r>
        <w:rPr>
          <w:rFonts w:hint="default" w:ascii="Times New Roman" w:hAnsi="Times New Roman" w:eastAsia="仿宋_GB2312" w:cs="Times New Roman"/>
          <w:color w:val="auto"/>
          <w:sz w:val="32"/>
          <w:szCs w:val="32"/>
          <w:highlight w:val="none"/>
          <w:u w:val="none" w:color="auto"/>
          <w:lang w:val="en-US" w:eastAsia="zh-CN"/>
        </w:rPr>
        <w:t>发挥蒙西地区中心城市的区位优势，加快建设G1816荣乌高速公路乌海至玛沁联络线乌海至石嘴山段工程，积极推动S37乌海至宁东</w:t>
      </w:r>
      <w:r>
        <w:rPr>
          <w:rFonts w:hint="default" w:ascii="Times New Roman" w:hAnsi="Times New Roman" w:eastAsia="楷体_GB2312" w:cs="Times New Roman"/>
          <w:color w:val="auto"/>
          <w:sz w:val="32"/>
          <w:szCs w:val="32"/>
          <w:highlight w:val="none"/>
          <w:lang w:val="en-US" w:eastAsia="zh-CN"/>
        </w:rPr>
        <w:t>（蒙宁界）</w:t>
      </w:r>
      <w:r>
        <w:rPr>
          <w:rFonts w:hint="default" w:ascii="Times New Roman" w:hAnsi="Times New Roman" w:eastAsia="仿宋_GB2312" w:cs="Times New Roman"/>
          <w:color w:val="auto"/>
          <w:sz w:val="32"/>
          <w:szCs w:val="32"/>
          <w:highlight w:val="none"/>
          <w:u w:val="none" w:color="auto"/>
          <w:lang w:val="en-US" w:eastAsia="zh-CN"/>
        </w:rPr>
        <w:t>高速公路工程开工建设，推进G244海南至平罗县</w:t>
      </w:r>
      <w:r>
        <w:rPr>
          <w:rFonts w:hint="default" w:ascii="Times New Roman" w:hAnsi="Times New Roman" w:eastAsia="楷体_GB2312" w:cs="Times New Roman"/>
          <w:color w:val="auto"/>
          <w:sz w:val="32"/>
          <w:szCs w:val="32"/>
          <w:highlight w:val="none"/>
          <w:lang w:val="en-US" w:eastAsia="zh-CN"/>
        </w:rPr>
        <w:t>（蒙宁界）</w:t>
      </w:r>
      <w:r>
        <w:rPr>
          <w:rFonts w:hint="default" w:ascii="Times New Roman" w:hAnsi="Times New Roman" w:eastAsia="仿宋_GB2312" w:cs="Times New Roman"/>
          <w:color w:val="auto"/>
          <w:sz w:val="32"/>
          <w:szCs w:val="32"/>
          <w:highlight w:val="none"/>
          <w:u w:val="none" w:color="auto"/>
          <w:lang w:val="en-US" w:eastAsia="zh-CN"/>
        </w:rPr>
        <w:t>段公路工程前期工作；依托较好的物流服务能力，提高对周边工业园区的辐射能力和虹吸效应，系统整合市内存量物流基础设施、减少行业间低水平建设和同质竞争，围绕枢纽城市建设打造跨区域物流通道，为“十五五”时期创建生产服务型国家物流枢纽奠定坚实基础。海勃湾区充分利用乌海北物流园铁路资源，重点服务海勃湾工业园区、蒙西工业园区，实现乌海北部地区大宗物流铁路资源要素集聚。乌达区充分利用乌海西站铁路资源，进一步提升铁路物流运载能力，打造铁路运输支点，重点服务乌达工业园区和乌斯太工业园区，将乌海西物流园打造成为自治区西部地区重要的“疆货外运、东物西送”大宗物资集散分拨基地。海南区紧抓乌海及周边地区煤炭需求，承接蒙煤、疆煤及蒙陕晋等地区煤炭资源，打造集煤炭仓储、运输、供应链金融、公铁联运、智慧调度等功能于一体的智慧型物流园区。围绕大宗货物运输“公转铁”“散改集”“油改电”，推动一批多式联运、智慧仓储、绿色运输等物流重点项目落地实施，进一步改善货物运输结构不合理、铁路专用线利用率不高、运输污染严重等突出问题。</w:t>
      </w:r>
      <w:r>
        <w:rPr>
          <w:rFonts w:hint="default" w:ascii="Times New Roman" w:hAnsi="Times New Roman" w:eastAsia="楷体_GB2312" w:cs="Times New Roman"/>
          <w:color w:val="auto"/>
          <w:sz w:val="32"/>
          <w:szCs w:val="32"/>
          <w:highlight w:val="none"/>
          <w:lang w:val="en-US" w:eastAsia="zh-CN"/>
        </w:rPr>
        <w:t>（责任单位：市发改委、交通局）</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u w:val="none" w:color="auto"/>
          <w:lang w:val="en-US" w:eastAsia="zh-CN"/>
        </w:rPr>
      </w:pPr>
      <w:r>
        <w:rPr>
          <w:rFonts w:hint="default" w:ascii="Times New Roman" w:hAnsi="Times New Roman" w:eastAsia="黑体" w:cs="Times New Roman"/>
          <w:color w:val="auto"/>
          <w:sz w:val="32"/>
          <w:szCs w:val="32"/>
          <w:highlight w:val="none"/>
          <w:u w:val="none" w:color="auto"/>
          <w:lang w:val="en-US" w:eastAsia="zh-CN"/>
        </w:rPr>
        <w:t>五、保障措施</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（一）健全组织领导。</w:t>
      </w:r>
      <w:r>
        <w:rPr>
          <w:rFonts w:hint="default" w:ascii="Times New Roman" w:hAnsi="Times New Roman" w:eastAsia="仿宋_GB2312" w:cs="Times New Roman"/>
          <w:color w:val="auto"/>
          <w:sz w:val="32"/>
          <w:szCs w:val="32"/>
          <w:highlight w:val="none"/>
          <w:u w:val="none" w:color="auto"/>
          <w:lang w:val="en-US" w:eastAsia="zh-CN"/>
        </w:rPr>
        <w:t>强化组织领导与责任落实，由乌海市完成五大任务、推进高质量发展工作领导小组统筹协调推动产业绿色转型发展工作，明确各区、各部门职责分工，协调解决重大问题；并且形成每年重点工作任务清单、项目清单，以及配套出台一系列政策措施，协同推进计划实施，确保取得实效</w:t>
      </w:r>
      <w:r>
        <w:rPr>
          <w:rFonts w:hint="default" w:ascii="Times New Roman" w:hAnsi="Times New Roman" w:eastAsia="楷体_GB2312" w:cs="Times New Roman"/>
          <w:color w:val="auto"/>
          <w:sz w:val="32"/>
          <w:szCs w:val="32"/>
          <w:highlight w:val="none"/>
          <w:u w:val="none" w:color="auto"/>
          <w:lang w:val="en-US" w:eastAsia="zh-CN"/>
        </w:rPr>
        <w:t>。</w:t>
      </w:r>
      <w:r>
        <w:rPr>
          <w:rFonts w:hint="default" w:ascii="Times New Roman" w:hAnsi="Times New Roman" w:eastAsia="楷体_GB2312" w:cs="Times New Roman"/>
          <w:color w:val="auto"/>
          <w:sz w:val="32"/>
          <w:szCs w:val="32"/>
          <w:highlight w:val="none"/>
          <w:lang w:val="en-US" w:eastAsia="zh-CN"/>
        </w:rPr>
        <w:t>（责任单位：市发改委、各相关责任单位）</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（二）争取政策支持。</w:t>
      </w:r>
      <w:r>
        <w:rPr>
          <w:rFonts w:hint="default" w:ascii="Times New Roman" w:hAnsi="Times New Roman" w:eastAsia="仿宋_GB2312" w:cs="Times New Roman"/>
          <w:color w:val="auto"/>
          <w:sz w:val="32"/>
          <w:szCs w:val="32"/>
          <w:highlight w:val="none"/>
          <w:u w:val="none" w:color="auto"/>
          <w:lang w:val="en-US" w:eastAsia="zh-CN"/>
        </w:rPr>
        <w:t>推动成立自治区级乌海及周边地区协同发展议事机构、调整乌海及周边地区焦化产能总量控制、设立乌海资源枯竭型城市转型产业基金、调增黄河用水指标等政策出台；积极争取资源枯竭城市中央转移支付补助资金以及自治区既有的科技、工业、文化旅游等资金渠道，支持传统产业升级改造和新兴产业发展。</w:t>
      </w:r>
      <w:r>
        <w:rPr>
          <w:rFonts w:hint="default" w:ascii="Times New Roman" w:hAnsi="Times New Roman" w:eastAsia="楷体_GB2312" w:cs="Times New Roman"/>
          <w:color w:val="auto"/>
          <w:sz w:val="32"/>
          <w:szCs w:val="32"/>
          <w:highlight w:val="none"/>
          <w:lang w:val="en-US" w:eastAsia="zh-CN"/>
        </w:rPr>
        <w:t>（责任单位：各相关责任单位）</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b w:val="0"/>
          <w:i w:val="0"/>
          <w:caps w:val="0"/>
          <w:color w:val="000000"/>
          <w:spacing w:val="0"/>
          <w:sz w:val="32"/>
          <w:szCs w:val="32"/>
          <w:highlight w:val="none"/>
          <w:u w:val="none" w:color="auto"/>
          <w:shd w:val="clear" w:color="auto" w:fill="FFFFFF"/>
          <w:lang w:val="en-US" w:eastAsia="zh-CN"/>
        </w:rPr>
      </w:pPr>
      <w:r>
        <w:rPr>
          <w:rFonts w:hint="default" w:ascii="Times New Roman" w:hAnsi="Times New Roman" w:eastAsia="楷体_GB2312" w:cs="Times New Roman"/>
          <w:b w:val="0"/>
          <w:i w:val="0"/>
          <w:caps w:val="0"/>
          <w:color w:val="auto"/>
          <w:spacing w:val="0"/>
          <w:sz w:val="32"/>
          <w:szCs w:val="32"/>
          <w:highlight w:val="none"/>
          <w:u w:val="none" w:color="auto"/>
          <w:shd w:val="clear" w:color="auto" w:fill="auto"/>
          <w:lang w:val="en-US" w:eastAsia="zh-CN"/>
        </w:rPr>
        <w:t>（三）靶向招商选资。</w:t>
      </w:r>
      <w:r>
        <w:rPr>
          <w:rFonts w:hint="default" w:ascii="Times New Roman" w:hAnsi="Times New Roman" w:eastAsia="仿宋_GB2312" w:cs="Times New Roman"/>
          <w:b w:val="0"/>
          <w:i w:val="0"/>
          <w:caps w:val="0"/>
          <w:color w:val="000000"/>
          <w:spacing w:val="0"/>
          <w:sz w:val="32"/>
          <w:szCs w:val="32"/>
          <w:highlight w:val="none"/>
          <w:u w:val="none" w:color="auto"/>
          <w:shd w:val="clear" w:color="auto" w:fill="FFFFFF"/>
          <w:lang w:val="en-US" w:eastAsia="zh-CN"/>
        </w:rPr>
        <w:t>聚焦4条重点产业链，面向京津冀、长三角、珠三角等重点区域，精准锁定国内领先链主企业，扎实开展招商推介、小规模精准招商恳谈会等活动，着力延链补链强链，提升产业链韧性与竞争力，推动终端产品市场化，进一步提升产品核心竞争力。（</w:t>
      </w:r>
      <w:r>
        <w:rPr>
          <w:rFonts w:hint="default" w:ascii="Times New Roman" w:hAnsi="Times New Roman" w:eastAsia="楷体_GB2312" w:cs="Times New Roman"/>
          <w:color w:val="auto"/>
          <w:sz w:val="32"/>
          <w:szCs w:val="32"/>
          <w:highlight w:val="none"/>
          <w:lang w:val="en-US" w:eastAsia="zh-CN"/>
        </w:rPr>
        <w:t>责任单位：市区域经济合作局</w:t>
      </w:r>
      <w:r>
        <w:rPr>
          <w:rFonts w:hint="default" w:ascii="Times New Roman" w:hAnsi="Times New Roman" w:eastAsia="仿宋_GB2312" w:cs="Times New Roman"/>
          <w:b w:val="0"/>
          <w:i w:val="0"/>
          <w:caps w:val="0"/>
          <w:color w:val="000000"/>
          <w:spacing w:val="0"/>
          <w:sz w:val="32"/>
          <w:szCs w:val="32"/>
          <w:highlight w:val="none"/>
          <w:u w:val="none" w:color="auto"/>
          <w:shd w:val="clear" w:color="auto" w:fill="FFFFFF"/>
          <w:lang w:val="en-US" w:eastAsia="zh-CN"/>
        </w:rPr>
        <w:t>）</w:t>
      </w:r>
    </w:p>
    <w:p>
      <w:pPr>
        <w:keepNext w:val="0"/>
        <w:keepLines w:val="0"/>
        <w:pageBreakBefore w:val="0"/>
        <w:kinsoku/>
        <w:wordWrap/>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（四）加强区域合作。</w:t>
      </w:r>
      <w:r>
        <w:rPr>
          <w:rFonts w:hint="default" w:ascii="Times New Roman" w:hAnsi="Times New Roman" w:eastAsia="仿宋_GB2312" w:cs="Times New Roman"/>
          <w:b w:val="0"/>
          <w:i w:val="0"/>
          <w:caps w:val="0"/>
          <w:color w:val="000000"/>
          <w:spacing w:val="0"/>
          <w:sz w:val="32"/>
          <w:szCs w:val="32"/>
          <w:highlight w:val="none"/>
          <w:u w:val="none" w:color="auto"/>
          <w:shd w:val="clear" w:color="auto" w:fill="FFFFFF"/>
        </w:rPr>
        <w:t>与周边盟市建立常态化合作机制，依托“阿电入乌”“鄂电入乌”“巴氢入乌”“生物降解地膜推广应用合作”等一批跨区域合作项目，推动乌海市与阿拉善盟、巴彦淖尔市和鄂尔多斯市在新能源、新材料等领域开展产业链上下游协同，推动生产要素自由流动，降低企业运营成本，实现区域内资源共享、优势互补。</w:t>
      </w:r>
      <w:r>
        <w:rPr>
          <w:rFonts w:hint="default" w:ascii="Times New Roman" w:hAnsi="Times New Roman" w:eastAsia="仿宋_GB2312" w:cs="Times New Roman"/>
          <w:b w:val="0"/>
          <w:i w:val="0"/>
          <w:caps w:val="0"/>
          <w:color w:val="000000"/>
          <w:spacing w:val="0"/>
          <w:sz w:val="32"/>
          <w:szCs w:val="32"/>
          <w:highlight w:val="none"/>
          <w:u w:val="none" w:color="auto"/>
          <w:shd w:val="clear" w:color="auto" w:fill="FFFFFF"/>
          <w:lang w:eastAsia="zh-CN"/>
        </w:rPr>
        <w:t>持续深化京蒙协作，</w:t>
      </w:r>
      <w:r>
        <w:rPr>
          <w:rFonts w:hint="default" w:ascii="Times New Roman" w:hAnsi="Times New Roman" w:eastAsia="仿宋_GB2312" w:cs="Times New Roman"/>
          <w:color w:val="000000"/>
          <w:sz w:val="32"/>
          <w:szCs w:val="32"/>
          <w:highlight w:val="none"/>
          <w:u w:val="none" w:color="auto"/>
          <w:lang w:val="en-US" w:eastAsia="zh-CN"/>
        </w:rPr>
        <w:t>统筹政策、资金、项目、平台等资源配置，促进产业发展、科技创新、数字赋能、教育医疗等多领域合作，全方位打造京蒙协作新模式。</w:t>
      </w:r>
      <w:r>
        <w:rPr>
          <w:rFonts w:hint="default" w:ascii="Times New Roman" w:hAnsi="Times New Roman" w:eastAsia="楷体_GB2312" w:cs="Times New Roman"/>
          <w:color w:val="auto"/>
          <w:sz w:val="32"/>
          <w:szCs w:val="32"/>
          <w:highlight w:val="none"/>
          <w:lang w:val="en-US" w:eastAsia="zh-CN"/>
        </w:rPr>
        <w:t>（责任单位：各相关责任单位）</w:t>
      </w:r>
    </w:p>
    <w:p>
      <w:pPr>
        <w:pStyle w:val="7"/>
        <w:keepNext w:val="0"/>
        <w:keepLines w:val="0"/>
        <w:pageBreakBefore w:val="0"/>
        <w:wordWrap/>
        <w:bidi w:val="0"/>
        <w:adjustRightInd w:val="0"/>
        <w:snapToGrid w:val="0"/>
        <w:spacing w:line="600" w:lineRule="exact"/>
        <w:ind w:left="0" w:leftChars="0" w:firstLine="640" w:firstLineChars="200"/>
        <w:jc w:val="both"/>
        <w:rPr>
          <w:rFonts w:hint="default" w:ascii="Times New Roman" w:hAnsi="Times New Roman" w:eastAsia="楷体_GB2312" w:cs="Times New Roman"/>
          <w:color w:val="auto"/>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（五）深化科技创新。</w:t>
      </w:r>
      <w:r>
        <w:rPr>
          <w:rFonts w:hint="default" w:ascii="Times New Roman" w:hAnsi="Times New Roman" w:eastAsia="仿宋_GB2312" w:cs="Times New Roman"/>
          <w:color w:val="000000"/>
          <w:sz w:val="32"/>
          <w:szCs w:val="32"/>
          <w:highlight w:val="none"/>
          <w:u w:val="none" w:color="auto"/>
          <w:lang w:val="en-US" w:eastAsia="zh-CN"/>
        </w:rPr>
        <w:t>聚焦BDO、固态电池等重点产业链，</w:t>
      </w:r>
      <w:r>
        <w:rPr>
          <w:rFonts w:hint="default" w:ascii="Times New Roman" w:hAnsi="Times New Roman" w:eastAsia="仿宋_GB2312" w:cs="Times New Roman"/>
          <w:b w:val="0"/>
          <w:bCs w:val="0"/>
          <w:color w:val="000000"/>
          <w:sz w:val="32"/>
          <w:szCs w:val="32"/>
          <w:highlight w:val="none"/>
          <w:u w:val="none" w:color="auto"/>
          <w:lang w:val="en-US" w:eastAsia="zh-CN"/>
        </w:rPr>
        <w:t>依托清陶院士工作站、乌海—北京双向飞地科创中心等平台，布局创建一批重点实验室、技术创新中心、产业创新中心、制造业创新中心、工程技术研究中心、院士工作站和中试基地，实现</w:t>
      </w:r>
      <w:r>
        <w:rPr>
          <w:rFonts w:hint="default" w:ascii="Times New Roman" w:hAnsi="Times New Roman" w:eastAsia="仿宋_GB2312" w:cs="Times New Roman"/>
          <w:color w:val="auto"/>
          <w:sz w:val="32"/>
          <w:szCs w:val="32"/>
          <w:highlight w:val="none"/>
          <w:u w:val="none" w:color="auto"/>
          <w:lang w:val="en-US" w:eastAsia="zh-CN"/>
        </w:rPr>
        <w:t>“实验研发在北京、成果转化在乌海”。推进科技创新和产业创新深度融合，以企业为主体，以需求为导向，完善科技成果转化体系，促进本地化应用。</w:t>
      </w:r>
      <w:r>
        <w:rPr>
          <w:rFonts w:hint="default" w:ascii="Times New Roman" w:hAnsi="Times New Roman" w:eastAsia="楷体_GB2312" w:cs="Times New Roman"/>
          <w:color w:val="auto"/>
          <w:sz w:val="32"/>
          <w:szCs w:val="32"/>
          <w:highlight w:val="none"/>
          <w:lang w:val="en-US" w:eastAsia="zh-CN"/>
        </w:rPr>
        <w:t>（责任单位：市科技局、财政局、工信局、发改委）</w:t>
      </w:r>
    </w:p>
    <w:p>
      <w:pPr>
        <w:pStyle w:val="7"/>
        <w:keepNext w:val="0"/>
        <w:keepLines w:val="0"/>
        <w:pageBreakBefore w:val="0"/>
        <w:wordWrap/>
        <w:bidi w:val="0"/>
        <w:adjustRightInd w:val="0"/>
        <w:snapToGrid w:val="0"/>
        <w:spacing w:line="600" w:lineRule="exact"/>
        <w:ind w:left="0" w:leftChars="0" w:firstLine="640" w:firstLineChars="200"/>
        <w:jc w:val="both"/>
        <w:rPr>
          <w:rFonts w:hint="default" w:ascii="Times New Roman" w:hAnsi="Times New Roman" w:eastAsia="仿宋_GB2312" w:cs="Times New Roman"/>
          <w:color w:val="000000"/>
          <w:sz w:val="32"/>
          <w:szCs w:val="32"/>
          <w:highlight w:val="none"/>
          <w:u w:val="none" w:color="auto"/>
          <w:lang w:val="en-US" w:eastAsia="zh-CN"/>
        </w:rPr>
      </w:pPr>
      <w:r>
        <w:rPr>
          <w:rFonts w:hint="default" w:ascii="Times New Roman" w:hAnsi="Times New Roman" w:eastAsia="楷体_GB2312" w:cs="Times New Roman"/>
          <w:color w:val="auto"/>
          <w:sz w:val="32"/>
          <w:szCs w:val="32"/>
          <w:highlight w:val="none"/>
          <w:u w:val="none" w:color="auto"/>
          <w:lang w:val="en-US" w:eastAsia="zh-CN"/>
        </w:rPr>
        <w:t>（六）夯实人才支撑。</w:t>
      </w:r>
      <w:r>
        <w:rPr>
          <w:rFonts w:hint="default" w:ascii="Times New Roman" w:hAnsi="Times New Roman" w:eastAsia="仿宋_GB2312" w:cs="Times New Roman"/>
          <w:color w:val="000000"/>
          <w:sz w:val="32"/>
          <w:szCs w:val="32"/>
          <w:highlight w:val="none"/>
          <w:u w:val="none" w:color="auto"/>
          <w:lang w:val="en-US" w:eastAsia="zh-CN"/>
        </w:rPr>
        <w:t>持续健全完善人才“1+N”政策体系，指导各领域围绕市级需求制定人才引育留用政策，给予各领域授权松绑激发人才活力。加大人才政策落实力度，及时兑现购房补贴、子女教育、配偶就业等各项优惠政策。健全完善高技能、高层次人才库，结合人才专业特长，健全人才流动机制，充分发挥人才优势和效能。优化人才评价体系，科学设置人才评价指标，激励人才创新创业。积极争取区域内高职专科学校升格成为高职本科学校，提升乌海及周边地区整体人才供给能力。</w:t>
      </w:r>
      <w:r>
        <w:rPr>
          <w:rFonts w:hint="default" w:ascii="Times New Roman" w:hAnsi="Times New Roman" w:eastAsia="楷体_GB2312" w:cs="Times New Roman"/>
          <w:color w:val="auto"/>
          <w:sz w:val="32"/>
          <w:szCs w:val="32"/>
          <w:highlight w:val="none"/>
          <w:lang w:val="en-US" w:eastAsia="zh-CN"/>
        </w:rPr>
        <w:t>（责任单位：市委组织部，市人社局、</w:t>
      </w:r>
      <w:r>
        <w:rPr>
          <w:rFonts w:hint="default" w:ascii="Times New Roman" w:hAnsi="Times New Roman" w:eastAsia="楷体_GB2312" w:cs="Times New Roman"/>
          <w:b w:val="0"/>
          <w:bCs w:val="0"/>
          <w:color w:val="auto"/>
          <w:sz w:val="32"/>
          <w:szCs w:val="32"/>
          <w:highlight w:val="none"/>
          <w:lang w:val="en-US" w:eastAsia="zh-CN"/>
        </w:rPr>
        <w:t>乌海职业技术学院</w:t>
      </w:r>
      <w:r>
        <w:rPr>
          <w:rFonts w:hint="default" w:ascii="Times New Roman" w:hAnsi="Times New Roman" w:eastAsia="楷体_GB2312" w:cs="Times New Roman"/>
          <w:color w:val="auto"/>
          <w:sz w:val="32"/>
          <w:szCs w:val="32"/>
          <w:highlight w:val="none"/>
          <w:lang w:val="en-US" w:eastAsia="zh-CN"/>
        </w:rPr>
        <w:t>）</w:t>
      </w:r>
    </w:p>
    <w:p>
      <w:pPr>
        <w:keepNext w:val="0"/>
        <w:keepLines w:val="0"/>
        <w:pageBreakBefore w:val="0"/>
        <w:wordWrap/>
        <w:bidi w:val="0"/>
        <w:adjustRightInd w:val="0"/>
        <w:snapToGrid w:val="0"/>
        <w:spacing w:line="600" w:lineRule="exact"/>
        <w:ind w:left="0" w:leftChars="0" w:firstLine="640" w:firstLineChars="200"/>
        <w:jc w:val="both"/>
        <w:rPr>
          <w:rFonts w:hint="default" w:ascii="Times New Roman" w:hAnsi="Times New Roman" w:eastAsia="仿宋_GB2312" w:cs="Times New Roman"/>
          <w:color w:val="auto"/>
          <w:sz w:val="32"/>
          <w:szCs w:val="32"/>
          <w:highlight w:val="none"/>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both"/>
        <w:textAlignment w:val="baseline"/>
        <w:rPr>
          <w:rFonts w:hint="default" w:ascii="Times New Roman" w:hAnsi="Times New Roman" w:eastAsia="仿宋_GB2312" w:cs="Times New Roman"/>
          <w:color w:val="auto"/>
          <w:sz w:val="32"/>
          <w:szCs w:val="32"/>
          <w:highlight w:val="none"/>
          <w:u w:val="none" w:color="auto"/>
          <w:lang w:val="en-US" w:eastAsia="zh-CN"/>
        </w:rPr>
      </w:pPr>
      <w:r>
        <w:rPr>
          <w:rFonts w:hint="default" w:ascii="Times New Roman" w:hAnsi="Times New Roman" w:eastAsia="仿宋_GB2312" w:cs="Times New Roman"/>
          <w:color w:val="auto"/>
          <w:sz w:val="32"/>
          <w:szCs w:val="32"/>
          <w:highlight w:val="none"/>
          <w:u w:val="none" w:color="auto"/>
          <w:lang w:val="en-US" w:eastAsia="zh-CN"/>
        </w:rPr>
        <w:t>附件：新上项目重点对接类</w:t>
      </w:r>
    </w:p>
    <w:p>
      <w:pPr>
        <w:keepNext w:val="0"/>
        <w:keepLines w:val="0"/>
        <w:pageBreakBefore w:val="0"/>
        <w:wordWrap/>
        <w:bidi w:val="0"/>
        <w:spacing w:line="600" w:lineRule="exact"/>
        <w:ind w:left="0" w:leftChars="0" w:firstLine="640" w:firstLineChars="200"/>
        <w:jc w:val="both"/>
        <w:rPr>
          <w:rFonts w:hint="default" w:ascii="Times New Roman" w:hAnsi="Times New Roman" w:eastAsia="黑体" w:cs="Times New Roman"/>
          <w:b w:val="0"/>
          <w:bCs w:val="0"/>
          <w:i w:val="0"/>
          <w:iCs w:val="0"/>
          <w:snapToGrid w:val="0"/>
          <w:color w:val="000000"/>
          <w:kern w:val="0"/>
          <w:sz w:val="32"/>
          <w:szCs w:val="32"/>
          <w:highlight w:val="none"/>
          <w:u w:val="none" w:color="auto"/>
          <w:lang w:val="en-US" w:eastAsia="zh-CN" w:bidi="ar"/>
        </w:rPr>
      </w:pPr>
      <w:r>
        <w:rPr>
          <w:rFonts w:hint="default" w:ascii="Times New Roman" w:hAnsi="Times New Roman" w:eastAsia="黑体" w:cs="Times New Roman"/>
          <w:b w:val="0"/>
          <w:bCs w:val="0"/>
          <w:i w:val="0"/>
          <w:iCs w:val="0"/>
          <w:snapToGrid w:val="0"/>
          <w:color w:val="000000"/>
          <w:kern w:val="0"/>
          <w:sz w:val="32"/>
          <w:szCs w:val="32"/>
          <w:highlight w:val="none"/>
          <w:u w:val="none" w:color="auto"/>
          <w:lang w:val="en-US" w:eastAsia="zh-CN" w:bidi="ar"/>
        </w:rPr>
        <w:br w:type="page"/>
      </w:r>
    </w:p>
    <w:p>
      <w:pPr>
        <w:keepNext w:val="0"/>
        <w:keepLines w:val="0"/>
        <w:pageBreakBefore w:val="0"/>
        <w:widowControl/>
        <w:suppressLineNumbers w:val="0"/>
        <w:wordWrap/>
        <w:bidi w:val="0"/>
        <w:adjustRightInd w:val="0"/>
        <w:snapToGrid w:val="0"/>
        <w:spacing w:line="600" w:lineRule="exact"/>
        <w:ind w:left="0" w:leftChars="0" w:firstLine="640" w:firstLineChars="200"/>
        <w:jc w:val="both"/>
        <w:textAlignment w:val="center"/>
        <w:rPr>
          <w:rFonts w:hint="default" w:ascii="Times New Roman" w:hAnsi="Times New Roman" w:eastAsia="黑体" w:cs="Times New Roman"/>
          <w:b w:val="0"/>
          <w:bCs w:val="0"/>
          <w:i w:val="0"/>
          <w:iCs w:val="0"/>
          <w:snapToGrid w:val="0"/>
          <w:color w:val="000000"/>
          <w:kern w:val="0"/>
          <w:sz w:val="32"/>
          <w:szCs w:val="32"/>
          <w:highlight w:val="none"/>
          <w:u w:val="none" w:color="auto"/>
          <w:lang w:val="en-US" w:eastAsia="zh-CN" w:bidi="ar"/>
        </w:rPr>
      </w:pPr>
      <w:r>
        <w:rPr>
          <w:rFonts w:hint="default" w:ascii="Times New Roman" w:hAnsi="Times New Roman" w:eastAsia="黑体" w:cs="Times New Roman"/>
          <w:b w:val="0"/>
          <w:bCs w:val="0"/>
          <w:i w:val="0"/>
          <w:iCs w:val="0"/>
          <w:snapToGrid w:val="0"/>
          <w:color w:val="000000"/>
          <w:kern w:val="0"/>
          <w:sz w:val="32"/>
          <w:szCs w:val="32"/>
          <w:highlight w:val="none"/>
          <w:u w:val="none" w:color="auto"/>
          <w:lang w:val="en-US" w:eastAsia="zh-CN" w:bidi="ar"/>
        </w:rPr>
        <w:t>附件</w:t>
      </w:r>
    </w:p>
    <w:p>
      <w:pPr>
        <w:keepNext w:val="0"/>
        <w:keepLines w:val="0"/>
        <w:pageBreakBefore w:val="0"/>
        <w:widowControl/>
        <w:numPr>
          <w:ilvl w:val="1"/>
          <w:numId w:val="0"/>
        </w:numPr>
        <w:kinsoku/>
        <w:wordWrap/>
        <w:overflowPunct/>
        <w:topLinePunct w:val="0"/>
        <w:autoSpaceDE/>
        <w:autoSpaceDN/>
        <w:bidi w:val="0"/>
        <w:adjustRightInd w:val="0"/>
        <w:snapToGrid w:val="0"/>
        <w:spacing w:beforeAutospacing="0" w:afterAutospacing="0" w:line="600" w:lineRule="exact"/>
        <w:ind w:left="0" w:leftChars="0" w:firstLine="880" w:firstLineChars="200"/>
        <w:jc w:val="center"/>
        <w:textAlignment w:val="auto"/>
        <w:rPr>
          <w:rFonts w:hint="default" w:ascii="Times New Roman" w:hAnsi="Times New Roman" w:eastAsia="方正小标宋简体" w:cs="Times New Roman"/>
          <w:bCs w:val="0"/>
          <w:sz w:val="44"/>
          <w:szCs w:val="44"/>
          <w:highlight w:val="none"/>
          <w:u w:val="none" w:color="auto"/>
          <w:shd w:val="clear" w:color="auto" w:fill="auto"/>
          <w:lang w:eastAsia="zh-CN" w:bidi="ar"/>
        </w:rPr>
      </w:pPr>
      <w:r>
        <w:rPr>
          <w:rFonts w:hint="default" w:ascii="Times New Roman" w:hAnsi="Times New Roman" w:eastAsia="方正小标宋简体" w:cs="Times New Roman"/>
          <w:color w:val="000000"/>
          <w:sz w:val="44"/>
          <w:szCs w:val="44"/>
          <w:highlight w:val="none"/>
          <w:u w:val="none" w:color="auto"/>
          <w:lang w:val="en-US" w:eastAsia="zh-CN" w:bidi="ar"/>
        </w:rPr>
        <w:t>新上项目重点对接类</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firstLine="640" w:firstLineChars="200"/>
        <w:jc w:val="both"/>
        <w:textAlignment w:val="auto"/>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pP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1.《乌海市委办公室、市人民政府办公室关于印发“乌海市大抓重点产业链工作方案”的通知》</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（乌党办发〔2025〕9号）</w:t>
      </w: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明确的4条重点产业链上的产品和项目：BDO一体化产业链重点发展催化剂、丁二酸、PDA等关键环节产品，谋划布局PVP、聚酯橡胶</w:t>
      </w:r>
      <w:r>
        <w:rPr>
          <w:rFonts w:hint="default" w:ascii="Times New Roman" w:hAnsi="Times New Roman" w:eastAsia="楷体_GB2312" w:cs="Times New Roman"/>
          <w:strike w:val="0"/>
          <w:dstrike w:val="0"/>
          <w:snapToGrid w:val="0"/>
          <w:color w:val="auto"/>
          <w:kern w:val="0"/>
          <w:sz w:val="32"/>
          <w:szCs w:val="32"/>
          <w:highlight w:val="none"/>
          <w:u w:val="none" w:color="auto"/>
          <w:lang w:val="en-US" w:eastAsia="zh-CN" w:bidi="ar-SA"/>
        </w:rPr>
        <w:t>（PTEE）</w:t>
      </w: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等下游产品，逐步推动产业链向终端制造业延伸；固态电池一体化产业链重点发展碳酸锂、硅烷、磷酸铁锂、正极材料、电池组装等关键环节产品，延伸发展硫化锂、固态电池电解质、硅碳负极材料、固态电池负极等高端下游产品；煤焦化一体化产业链重点发展己内酰胺、醋酸、中间相炭微球、醋酸乙烯等关键环节产品，延伸发展沥青基碳纤维、对位芳纶、尼龙66等高端下游产品；硅基新材料一体化产业链重点发展功能性硅烷、含氢硅油、苯基氯硅烷、硅油等关键环节产品，延伸发展改性橡胶、苯基硅橡胶/树脂、光刻胶、电子器件等高端产品。</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firstLine="640" w:firstLineChars="200"/>
        <w:jc w:val="both"/>
        <w:textAlignment w:val="auto"/>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pP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2.《内蒙古自治区人民政府关于进一步优化重点产业布局的指导意见》中对乌海重点布局的产业相关产品和项目：电解水制氢、储运装备、输气管道等氢能装备产业；新能源重卡研发、高端零部件、内燃机制造等新能源汽车产业链；石墨烯、高性能碳纤维等碳基新材料产业；氟硅材料及氟聚合材料等高附加值氟化工产业；锂原电池、燃料电池、钠离子电池、铅蓄电池等新型电池产业；新型农药中间体、染料中间体、助剂、生物农药新产品等高端精细化工产业；在化工、钢铁、建材、电力等“两高”类项目中耦合新能源实现节能降碳一体化发展及可再生能源综合利用的循环化产业。</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firstLine="640" w:firstLineChars="200"/>
        <w:jc w:val="both"/>
        <w:textAlignment w:val="auto"/>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pP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3.现代农业和服务业：农业节水改造和精细化管理，农业良种技术攻关和生物育种产业化应用，智慧农业及新型农业技术开发，农林产品深加工，绿色农业，中药材种植与养殖，农村旅游特色产业，重要生态系统保护和修复等；煤炭等重要商品的现代物流设施建设，冷链物流，供应链创新、应用、管理服务，物流信息开发与应用；面向小微企业等经营主体的融资担保服务、融资租赁，绿色金融服务体系建设，金融产品开发应用；科技创新平台建设，专业科技服务，科技咨询服务，知识产权服务，数据及数字化服务；文化旅游、乡村旅游、红色旅游、体育旅游及其他旅游资源综合开发，旅游基础设施建设、旅游信息等服务，智慧旅游、科技旅游、休闲度假旅游、自驾游、低空旅游及其他新兴旅游方式服务体系建设；文化遗产保护利用及设施建设，文化创意产品开发，非物质文化遗产保护，民族和民间艺术、传统工艺美术和手工艺保护与发展。</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firstLine="640" w:firstLineChars="200"/>
        <w:jc w:val="both"/>
        <w:textAlignment w:val="auto"/>
        <w:rPr>
          <w:rFonts w:hint="default" w:ascii="Times New Roman" w:hAnsi="Times New Roman" w:cs="Times New Roman"/>
          <w:highlight w:val="none"/>
          <w:u w:val="none" w:color="auto"/>
          <w:lang w:val="en-US" w:eastAsia="zh-CN"/>
        </w:rPr>
      </w:pPr>
      <w:r>
        <w:rPr>
          <w:rStyle w:val="17"/>
          <w:rFonts w:hint="default" w:ascii="Times New Roman" w:hAnsi="Times New Roman" w:eastAsia="楷体_GB2312" w:cs="Times New Roman"/>
          <w:b w:val="0"/>
          <w:bCs/>
          <w:sz w:val="32"/>
          <w:szCs w:val="32"/>
          <w:highlight w:val="none"/>
          <w:u w:val="none" w:color="auto"/>
          <w:shd w:val="clear" w:color="auto" w:fill="FFFFFF"/>
          <w:lang w:val="en-US" w:eastAsia="zh-CN"/>
        </w:rPr>
        <w:t>4.</w:t>
      </w:r>
      <w:r>
        <w:rPr>
          <w:rStyle w:val="17"/>
          <w:rFonts w:hint="default" w:ascii="Times New Roman" w:hAnsi="Times New Roman" w:eastAsia="仿宋_GB2312" w:cs="Times New Roman"/>
          <w:b w:val="0"/>
          <w:bCs/>
          <w:sz w:val="32"/>
          <w:szCs w:val="32"/>
          <w:highlight w:val="none"/>
          <w:u w:val="none" w:color="auto"/>
          <w:shd w:val="clear" w:color="auto" w:fill="FFFFFF"/>
          <w:lang w:val="en-US" w:eastAsia="zh-CN"/>
        </w:rPr>
        <w:t>国家、自治区鼓励推进的其他产业项目。</w:t>
      </w:r>
    </w:p>
    <w:p>
      <w:pPr>
        <w:keepNext w:val="0"/>
        <w:keepLines w:val="0"/>
        <w:pageBreakBefore w:val="0"/>
        <w:wordWrap/>
        <w:bidi w:val="0"/>
        <w:spacing w:line="600" w:lineRule="exact"/>
        <w:ind w:left="0" w:leftChars="0" w:firstLine="420" w:firstLineChars="200"/>
        <w:jc w:val="both"/>
      </w:pPr>
    </w:p>
    <w:p>
      <w:pPr>
        <w:rPr>
          <w:rFonts w:hint="default"/>
          <w:lang w:val="en-US" w:eastAsia="zh-CN"/>
        </w:rPr>
      </w:pPr>
    </w:p>
    <w:sectPr>
      <w:footerReference r:id="rId5" w:type="default"/>
      <w:pgSz w:w="11906" w:h="16838"/>
      <w:pgMar w:top="1701" w:right="1531" w:bottom="1701" w:left="1531"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B42CD7"/>
    <w:multiLevelType w:val="singleLevel"/>
    <w:tmpl w:val="FDB42CD7"/>
    <w:lvl w:ilvl="0" w:tentative="0">
      <w:start w:val="1"/>
      <w:numFmt w:val="decimal"/>
      <w:pStyle w:val="10"/>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B4FE6"/>
    <w:rsid w:val="032558AB"/>
    <w:rsid w:val="03FE7EAB"/>
    <w:rsid w:val="04943891"/>
    <w:rsid w:val="04AE367F"/>
    <w:rsid w:val="05CE1F6A"/>
    <w:rsid w:val="06670486"/>
    <w:rsid w:val="08DE30FD"/>
    <w:rsid w:val="0956377E"/>
    <w:rsid w:val="0B784B94"/>
    <w:rsid w:val="0C9D2956"/>
    <w:rsid w:val="0D332229"/>
    <w:rsid w:val="0D812500"/>
    <w:rsid w:val="0F865F2E"/>
    <w:rsid w:val="12665599"/>
    <w:rsid w:val="127557DC"/>
    <w:rsid w:val="17C746F2"/>
    <w:rsid w:val="19597C05"/>
    <w:rsid w:val="1BBFA446"/>
    <w:rsid w:val="1E282F5E"/>
    <w:rsid w:val="1FC35DD8"/>
    <w:rsid w:val="211344C3"/>
    <w:rsid w:val="22BB548D"/>
    <w:rsid w:val="245636BF"/>
    <w:rsid w:val="24D258A5"/>
    <w:rsid w:val="2DDE52CD"/>
    <w:rsid w:val="2EEBEC9F"/>
    <w:rsid w:val="2FBC54A2"/>
    <w:rsid w:val="326A144A"/>
    <w:rsid w:val="32DBCD85"/>
    <w:rsid w:val="33897CA6"/>
    <w:rsid w:val="345FCF4A"/>
    <w:rsid w:val="36A11639"/>
    <w:rsid w:val="37FFBEF3"/>
    <w:rsid w:val="3A165D72"/>
    <w:rsid w:val="3A8A3C6B"/>
    <w:rsid w:val="3BEF6EE6"/>
    <w:rsid w:val="3BF20A64"/>
    <w:rsid w:val="3BFA7978"/>
    <w:rsid w:val="3EE3FA07"/>
    <w:rsid w:val="3F77C710"/>
    <w:rsid w:val="3FFB9675"/>
    <w:rsid w:val="3FFCEBB0"/>
    <w:rsid w:val="44400E63"/>
    <w:rsid w:val="457048AD"/>
    <w:rsid w:val="47C527E3"/>
    <w:rsid w:val="4B361218"/>
    <w:rsid w:val="4D3A3090"/>
    <w:rsid w:val="4DCF4404"/>
    <w:rsid w:val="4E127DA7"/>
    <w:rsid w:val="4E6F7353"/>
    <w:rsid w:val="505A79BD"/>
    <w:rsid w:val="557A666C"/>
    <w:rsid w:val="566413BC"/>
    <w:rsid w:val="57FA5522"/>
    <w:rsid w:val="58A509C8"/>
    <w:rsid w:val="5AFB2311"/>
    <w:rsid w:val="5BDF6929"/>
    <w:rsid w:val="5BEA5BE9"/>
    <w:rsid w:val="5D1D6A82"/>
    <w:rsid w:val="5DE52952"/>
    <w:rsid w:val="5EBF659B"/>
    <w:rsid w:val="5FFF91EA"/>
    <w:rsid w:val="615838CB"/>
    <w:rsid w:val="629923ED"/>
    <w:rsid w:val="675F31B5"/>
    <w:rsid w:val="67FC8854"/>
    <w:rsid w:val="6AEB756B"/>
    <w:rsid w:val="6B4904B9"/>
    <w:rsid w:val="6BD5E24B"/>
    <w:rsid w:val="6F337A2C"/>
    <w:rsid w:val="6FFF03A9"/>
    <w:rsid w:val="74A0760B"/>
    <w:rsid w:val="75343457"/>
    <w:rsid w:val="7677A600"/>
    <w:rsid w:val="77390D70"/>
    <w:rsid w:val="774ED569"/>
    <w:rsid w:val="779D180D"/>
    <w:rsid w:val="77BDD985"/>
    <w:rsid w:val="77EF93A0"/>
    <w:rsid w:val="77F7ABC7"/>
    <w:rsid w:val="77F7F651"/>
    <w:rsid w:val="77FF8F0E"/>
    <w:rsid w:val="780C1BB2"/>
    <w:rsid w:val="78EFBC19"/>
    <w:rsid w:val="79B16930"/>
    <w:rsid w:val="79DF43C1"/>
    <w:rsid w:val="7A637189"/>
    <w:rsid w:val="7AB4F187"/>
    <w:rsid w:val="7C3051CE"/>
    <w:rsid w:val="7C97708A"/>
    <w:rsid w:val="7CDB13C9"/>
    <w:rsid w:val="7D1E8B02"/>
    <w:rsid w:val="7D677EC2"/>
    <w:rsid w:val="7E575518"/>
    <w:rsid w:val="7EEB3C22"/>
    <w:rsid w:val="7EFF1C0F"/>
    <w:rsid w:val="7FAF3F00"/>
    <w:rsid w:val="7FD1C898"/>
    <w:rsid w:val="7FEF1D9A"/>
    <w:rsid w:val="7FFBBD32"/>
    <w:rsid w:val="8BF41F62"/>
    <w:rsid w:val="9BF50304"/>
    <w:rsid w:val="B0FC74E7"/>
    <w:rsid w:val="B2DF81A3"/>
    <w:rsid w:val="B7BB68AD"/>
    <w:rsid w:val="BBB76621"/>
    <w:rsid w:val="CFAE4651"/>
    <w:rsid w:val="D35E8805"/>
    <w:rsid w:val="D6FF1556"/>
    <w:rsid w:val="DDCF2779"/>
    <w:rsid w:val="DDF7FE1E"/>
    <w:rsid w:val="DDFECA1A"/>
    <w:rsid w:val="DEFBE396"/>
    <w:rsid w:val="DFFDD2BE"/>
    <w:rsid w:val="E95F7AB5"/>
    <w:rsid w:val="EDFEB3A9"/>
    <w:rsid w:val="F27FCDF4"/>
    <w:rsid w:val="F5FBC870"/>
    <w:rsid w:val="F6978040"/>
    <w:rsid w:val="F77ED947"/>
    <w:rsid w:val="F7953944"/>
    <w:rsid w:val="F7DB4C48"/>
    <w:rsid w:val="F7FB7A23"/>
    <w:rsid w:val="F7FFEBB7"/>
    <w:rsid w:val="FBFEA74A"/>
    <w:rsid w:val="FCEEB0B5"/>
    <w:rsid w:val="FCF71A59"/>
    <w:rsid w:val="FDCF5EA2"/>
    <w:rsid w:val="FDD507FD"/>
    <w:rsid w:val="FFFF9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widowControl w:val="0"/>
      <w:jc w:val="both"/>
    </w:pPr>
    <w:rPr>
      <w:rFonts w:ascii="Times New Roman" w:hAnsi="Times New Roman" w:eastAsia="宋体" w:cs="Calibri"/>
      <w:kern w:val="2"/>
      <w:sz w:val="21"/>
      <w:szCs w:val="21"/>
      <w:lang w:val="en-US" w:eastAsia="zh-CN" w:bidi="ar-SA"/>
    </w:rPr>
  </w:style>
  <w:style w:type="paragraph" w:styleId="4">
    <w:name w:val="annotation text"/>
    <w:basedOn w:val="1"/>
    <w:qFormat/>
    <w:uiPriority w:val="0"/>
    <w:pPr>
      <w:jc w:val="left"/>
    </w:pPr>
  </w:style>
  <w:style w:type="paragraph" w:styleId="5">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6">
    <w:name w:val="Body Text Indent"/>
    <w:basedOn w:val="1"/>
    <w:next w:val="7"/>
    <w:qFormat/>
    <w:uiPriority w:val="99"/>
    <w:pPr>
      <w:spacing w:after="120"/>
      <w:ind w:left="420" w:leftChars="200"/>
    </w:pPr>
  </w:style>
  <w:style w:type="paragraph" w:styleId="7">
    <w:name w:val="toc 2"/>
    <w:basedOn w:val="1"/>
    <w:next w:val="1"/>
    <w:qFormat/>
    <w:uiPriority w:val="0"/>
    <w:pPr>
      <w:ind w:left="420"/>
      <w:jc w:val="center"/>
    </w:pPr>
    <w:rPr>
      <w:rFonts w:ascii="黑体" w:eastAsia="黑体"/>
      <w:sz w:val="32"/>
      <w:szCs w:val="32"/>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Number 5"/>
    <w:basedOn w:val="1"/>
    <w:qFormat/>
    <w:uiPriority w:val="0"/>
    <w:pPr>
      <w:numPr>
        <w:ilvl w:val="0"/>
        <w:numId w:val="1"/>
      </w:numPr>
    </w:pPr>
  </w:style>
  <w:style w:type="paragraph" w:styleId="11">
    <w:name w:val="Body Text 2"/>
    <w:qFormat/>
    <w:uiPriority w:val="0"/>
    <w:pPr>
      <w:widowControl w:val="0"/>
      <w:spacing w:line="480" w:lineRule="auto"/>
      <w:jc w:val="both"/>
    </w:pPr>
    <w:rPr>
      <w:rFonts w:ascii="Calibri" w:hAnsi="Calibri" w:eastAsia="宋体" w:cs="宋体"/>
      <w:kern w:val="2"/>
      <w:sz w:val="21"/>
      <w:szCs w:val="24"/>
      <w:lang w:val="en-US" w:eastAsia="zh-CN" w:bidi="ar-SA"/>
    </w:r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4">
    <w:name w:val="Title"/>
    <w:basedOn w:val="1"/>
    <w:next w:val="1"/>
    <w:qFormat/>
    <w:uiPriority w:val="0"/>
    <w:pPr>
      <w:spacing w:before="240" w:beforeAutospacing="0" w:after="60" w:afterAutospacing="0"/>
      <w:jc w:val="center"/>
      <w:outlineLvl w:val="0"/>
    </w:pPr>
    <w:rPr>
      <w:rFonts w:ascii="Arial" w:hAnsi="Arial"/>
      <w:b/>
      <w:sz w:val="32"/>
    </w:rPr>
  </w:style>
  <w:style w:type="character" w:styleId="17">
    <w:name w:val="Strong"/>
    <w:qFormat/>
    <w:uiPriority w:val="0"/>
    <w:rPr>
      <w:b/>
    </w:rPr>
  </w:style>
  <w:style w:type="paragraph" w:customStyle="1" w:styleId="18">
    <w:name w:val="BodyTextIndent"/>
    <w:basedOn w:val="1"/>
    <w:qFormat/>
    <w:uiPriority w:val="0"/>
    <w:pPr>
      <w:spacing w:after="120"/>
      <w:ind w:left="420" w:leftChars="200"/>
    </w:pPr>
    <w:rPr>
      <w:rFonts w:ascii="Times New Roman" w:hAnsi="Times New Roman" w:eastAsia="宋体" w:cs="Times New Roman"/>
    </w:rPr>
  </w:style>
  <w:style w:type="character" w:customStyle="1" w:styleId="19">
    <w:name w:val="font31"/>
    <w:basedOn w:val="16"/>
    <w:qFormat/>
    <w:uiPriority w:val="0"/>
    <w:rPr>
      <w:rFonts w:hint="eastAsia" w:ascii="宋体" w:hAnsi="宋体" w:eastAsia="宋体" w:cs="宋体"/>
      <w:color w:val="000000"/>
      <w:sz w:val="28"/>
      <w:szCs w:val="28"/>
      <w:u w:val="none"/>
    </w:rPr>
  </w:style>
  <w:style w:type="character" w:customStyle="1" w:styleId="20">
    <w:name w:val="font191"/>
    <w:basedOn w:val="16"/>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5024</Words>
  <Characters>5145</Characters>
  <Lines>0</Lines>
  <Paragraphs>0</Paragraphs>
  <TotalTime>48</TotalTime>
  <ScaleCrop>false</ScaleCrop>
  <LinksUpToDate>false</LinksUpToDate>
  <CharactersWithSpaces>5146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2022-05-12T23:12:00Z</dcterms:created>
  <dc:creator>Administrator</dc:creator>
  <cp:lastModifiedBy>演示人</cp:lastModifiedBy>
  <cp:lastPrinted>2025-07-30T16:19:00Z</cp:lastPrinted>
  <dcterms:modified xsi:type="dcterms:W3CDTF">2025-08-05T03:25:45Z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762D82C591B7CBCB35EF86688764BA6D</vt:lpwstr>
  </property>
  <property fmtid="{D5CDD505-2E9C-101B-9397-08002B2CF9AE}" pid="4" name="KSOTemplateDocerSaveRecord">
    <vt:lpwstr>eyJoZGlkIjoiOWNjYzI0MjA3YWNjZjI0Y2QwMTU3OTBjMWM0YzA5NGMiLCJ1c2VySWQiOiIxNTMyOTM0OTgzIn0=</vt:lpwstr>
  </property>
</Properties>
</file>