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sz w:val="32"/>
          <w:szCs w:val="32"/>
          <w:lang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乌海市金运商贸有限责任公司</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投资项目简介</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第一部分：年产10000吨耐高低温、耐腐蚀、耐磨损精密锻铸汽车配件及法兰盘生产线项目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乌海市金运商贸有限责任公司年产10000吨耐高低温、耐腐蚀、耐磨损精密锻铸汽车配件及法兰盘生产线项目，是通过乌海市政府招商引资并通过我公司实地考查、调研后，作为乌海市及自治区的重点企业入驻千里山工业园区园区。是一家集包钢万腾、陕重汽为一体的配套锻造加工企业，该项目添补了乌海市市乃至自治区西部只有铸造没有锻造的空白。一期生产能力利用包钢万腾的钢坯5万吨/年，生产大型工矿企业高压、锻压、法兰盘1万吨。其中为陕重汽提供生产配套齿轮、心盘、轴类、毛坯、法兰等锻件6000吨，生产制作各种国标、非标法兰及锻件4000吨，同时可为工矿企业生产制作各种非标设备及配件。职工就业300人。主机设备采用油压机、空气锤、辗环机等新型工艺装备生产法兰盘，是一种先进适用的生产线，对环境没有“三废”排放污染，建设目标：充分应用新技术、新工艺、新材料、添补空白、打造西部一流锻造加工企业。项目建成后可安排职工就业300余人一、项目一期建设规模与建设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1、建设规模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年生产能力10000吨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2、产品方案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为陕重汽公司配套生产耐高低温、耐腐蚀、耐磨损精密锻件6000吨和铸件1000吨，为其他相关企业生产法兰盘2000吨和耐高低温、耐腐蚀、耐磨损精密锻件1000吨。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3、建设内容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项目建设内容为下料车间3000平米、锻造车间4000平米、机加车间4000平米、热处理车间2500平米、铸造车间3000平米、原材料库房3000平米、产成品库1000平米，办公及职工宿舍等生活设施2000平米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、本项目投入资金估算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1、总投资9500万元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资金来源为：项目单位自筹2929万元，银行贷款6571万元。其中建设投资7259.06万元，建设期利息342.38万元，流动资金1898.48万元。建筑工程费占34.47%，设备购置费占36.78%，安装工程费占4.45%，其它费用占24.30%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3、本项目投产后，第1年生产负荷可以达设计能力的80%，第2年生产负荷可以达设计能力的100%。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4、参考本行业的平均收益水平并考虑项目的风险因素，确定本项目的基准收益率为12%。</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、营业收入估算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本项目建成后，正常年营业收入为11400万元。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、税金估算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项目正常年份营业税金及附加84.32万元，增值税843.2万元。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黑体" w:hAnsi="黑体" w:eastAsia="黑体" w:cs="黑体"/>
          <w:sz w:val="32"/>
          <w:szCs w:val="32"/>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、盈利能力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1、企业法定公积金按税后利润的10%提取。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2、项目计算期内年均利润总额2681.77万元，年平均净利润2011.41万元。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黑体" w:hAnsi="黑体" w:eastAsia="黑体" w:cs="黑体"/>
          <w:sz w:val="32"/>
          <w:szCs w:val="32"/>
        </w:rPr>
      </w:pP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、财务指标分析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（1）总投资收益率为30.78%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（2）资本金净利润率为68.68%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）财务内部收益率：税前32.83%，税后25.96%。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）财务净现值（1=12%）：税前44922万元，税后33709万元。均大于零。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（5)投资回收期（含建设期2年)：税前4.90年，税后5.65年。回收期较短。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（6)项目盈亏平衡点BEP经计算为52.02%，故项目具有较强的抗风险能力。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、劳动定员数量及技能素质要求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根据项目设计规模、生产工艺流程，生产一线工人按生产环节、工种、岗位分班配备：按组织机构职责范围、业务分工配备管理人员；服务人员及其他人员根据项目特点按实际需要配备。</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经计算，达到设计规模时，全厂在籍职工为300人。包括管理和</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服务人员25名，技术人员25名，工人250人。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以上指标可看出，总投资收益率及资本净利润率均大于行业平均标准，说明单位投资对国家积累的贡献水平达到了本行业的平均水平，从静态角度反映出项目具有一定的财务盈利能力。从财务分析的结果来看，本项目的财务内部收益率而言，不论税前还是税后指标均高于同行业基准值，财务净现值远大于零，投资回收期能满足最低要求；同时，其他财务分析指标也表明，本项目不论是盈利能力、还是抗风险能力都很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主要数据看，项目建成后达产年销售收入11400万元，年平均利润总额2861.77万元，经济效益较为明显，从主要经济评价指标看，项目总投资收益率30.78%，投资回收期5.65年，皆优于国家颁布的机械行业基准值。项目投资回收速度较快。说明项目抗风险能力较强，投资效果良好。项目投资的主机设备采用新型工艺装备辗环机配套，空气锤生产法兰盘，是一种先进适用的生产线，对提升当地锻压行业技术装备水平，促进企业技术进步，具有较大的社会意义。特别是项目在加热工序，采用炉排加热炉，解决了燃煤加热冒黑烟严重污染环境的问题，具有建设工期短，投入产品效果明显，工效高，省材料等诸多优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该项目目前已完成投资近5000万元，基础设施部分（办公、生活、厂房车间等）均以完工。</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第二部分：二期扩建项目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于近几年国家经济结构的不断调整，重污染等落后产能的陆续淘汰。国家在不断加大对装备制造型实体企业扶持力度，因此锻造行业作为装备制造的基础产业它的产品需求市场面很广如石油化工、发电设备、飞机船舶、机车制造、城市建设等国民经济的各个方面发展前景是相当可观的。另外随着国家对环境污染治理力度的加大，锻造企业都在从一二线城市向外转移。乌海市作为内蒙古西部的一个重要的能源基地毗邻宁夏回族自治区、甘肃省、新疆维吾尔自治区等风力资源十分丰富地区在政策、原料、能源及地域等各方面具有得天独厚的条件。特别是国家十三五计划提出到2020年风力发电装机容量将达到2.5亿千瓦其中三北地区建设规模将达1.7亿千瓦，占此期间国家电力开发利用总目标的32%。其次目前锻造行业的产品升级换代很快，需要不断采用新材料、新技术、新工艺进行生产，使企业具有较强的自主创新能力，根据不断变化的市场和客户的特殊需求及时开发出具有高性能、高使用寿命能满足客户个性化需求的新产品占领市</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场。所以建立自己的研发中心、培养自己的研发团队、拥有自己的知识产权是企业发展的大势所趋必不可少的。因此我公司专门组织团队对我国的锻造之乡山西省定襄县进行了实地考察，走访了解并咨询了定襄县天宝集团、双环集团等从事风电法兰生产的大型锻造企业，对这些企业的生产、销售及企业效益等做了系统全面细致的考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此次考察调研公司认为启动二期扩建从事风力发电项目的法兰生产是十分必要的，也是一个千载难逢的好时机。与公司董事会提出的围绕国家经济结构调整，增加公司产品的品种数量提高产品附加值做大做强企业以回报社会的经营理念相一致的。在原年产10000吨产能的基础上增加投资二期扩建项目，二期扩建完成后使公司的面貌焕然一新拥有自己的研发中心和研发团队，产能将达到年产50000吨生产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目前我公司已于神东公司、宁夏电力公司等企业进行了深层次的接触，并达成了有关合作及供货协议。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二期扩建项目投资规模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二期改造扩建项目预计总投资27586万元，其中固定资产资19020.2万元，流动资金投资8565.8万元。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二、二期扩建项目投资方向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1、开发生产风力发电机用法兰盘，生产规模为年产25000吨。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2、增加军品加工制作(包头一机、包头二机各种精密特种段铸件)加工规模为年产10000吨。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3、根据周边工矿企业产品结构的调整开发制造其所需的各种非标设备及配件。生产规模为年产5000吨。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三、二期扩建项目营业收入估算</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本项目建成后，正常年营业收入在一期年收入的基础上增加37000万元。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四、二期扩建项目税金估算增加</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项目正常年份营业税金及附加273.67万元，增值税2736.7万元。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五、二期扩建项目盈利能力增加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1、企业法定公积金按税后利润的10%提取。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2、项目计算期内年均利润总额8579.2万元，年平均净利润6434.4万元。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六、二期扩建项目财务指标分析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）总投资收益率为34.2%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）资本金净利润率为76.3%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）财务内部收益率：税前42.01%，税后31.1%。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）投资回收期：税前4.1年，税后4.3年。回收期较短。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）项目盈亏平衡点BEP经计算为42.5%。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七、二期扩建项目劳动定员数量及技能素质要求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根据项目设计规模、生产工艺流程，生产一线工人按生产环节、工种、岗位分班配备；按组织机构职责范围、业务分工配备管理人员；服务人员及其他人员根据项目特点按实际需要配备。</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经计算，达到设计规模时，全厂在籍职工在一期在职人员的基数</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上增加100余人。届时企业员工将达到500余人。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八、二期扩建项目所增加投资内容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二期扩建所投入设备均为目前国内锻造行业先进的尖端设备，具有加工精度高、范围广，生产效率高等优势。尤其是大型</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油压机、数控立车、数控立钻、碾环机等重型设备在我国西部地</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区首屈一指，4000吨油压机可锻造成型直径1000mm，高2000mm</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的各种毛坯工件，包括风机塔筒法兰、汽车齿圈、齿轮、传动轴、</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火车轴、车轮等各种大型锻造件，军品锻件（重型卡车、坦克车</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等特殊材质)非标锻件。DVT630NC数控立车最大加工直径可达6300mm最大加工工件高度可达3150mm，最大加工工件重量可达3200kg。可一次性精准完成工件的车削工序。PZ5050数控高速钻床可加工工件钻孔最大中心距5000*5000mm，最大钻孔直径60mm，最大加工工件厚度200mm。碾环机可一次成型直径6000mm以下各种环型工件，日加工能力200吨以上。配合其他中小型精密加工设备，项目建成后企业将具备小到几毫米大到几千毫米各种型号标准及非标工矿配件、成套设备等加工制造能力。公司将成为我国西部地区独一无二的及锻造和机械加工为一体的大型装备制造企业</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p>
    <w:sectPr>
      <w:footerReference r:id="rId3" w:type="default"/>
      <w:pgSz w:w="11906" w:h="16838"/>
      <w:pgMar w:top="1701" w:right="1474"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9A5B4A"/>
    <w:rsid w:val="00B378FD"/>
    <w:rsid w:val="098C3262"/>
    <w:rsid w:val="0EC13E6B"/>
    <w:rsid w:val="0EF66B4A"/>
    <w:rsid w:val="138442B6"/>
    <w:rsid w:val="14955EFA"/>
    <w:rsid w:val="15F02130"/>
    <w:rsid w:val="165B7A62"/>
    <w:rsid w:val="16CC6384"/>
    <w:rsid w:val="19B67453"/>
    <w:rsid w:val="19E47728"/>
    <w:rsid w:val="2D9A5B4A"/>
    <w:rsid w:val="3173170F"/>
    <w:rsid w:val="44D03967"/>
    <w:rsid w:val="546338DF"/>
    <w:rsid w:val="55EF5A02"/>
    <w:rsid w:val="5B657734"/>
    <w:rsid w:val="6FC3327E"/>
    <w:rsid w:val="758D6FA7"/>
    <w:rsid w:val="7C530962"/>
    <w:rsid w:val="7E936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4028</Words>
  <Characters>4447</Characters>
  <Lines>0</Lines>
  <Paragraphs>0</Paragraphs>
  <TotalTime>5</TotalTime>
  <ScaleCrop>false</ScaleCrop>
  <LinksUpToDate>false</LinksUpToDate>
  <CharactersWithSpaces>4455</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2020-06-11T00:51:00Z</dcterms:created>
  <dc:creator>柯柯柯柯柯</dc:creator>
  <cp:lastModifiedBy> Coeus</cp:lastModifiedBy>
  <dcterms:modified xsi:type="dcterms:W3CDTF">2020-06-11T03:28:48Z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