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6064F">
      <w:pPr>
        <w:spacing w:line="760" w:lineRule="exact"/>
        <w:jc w:val="center"/>
        <w:rPr>
          <w:rFonts w:hint="eastAsia" w:ascii="黑体" w:hAnsi="黑体" w:eastAsia="黑体" w:cs="黑体"/>
          <w:b/>
          <w:color w:val="auto"/>
          <w:sz w:val="44"/>
          <w:szCs w:val="44"/>
          <w:highlight w:val="none"/>
          <w:lang w:eastAsia="zh-CN"/>
        </w:rPr>
      </w:pPr>
      <w:bookmarkStart w:id="0" w:name="_Hlk534897413"/>
    </w:p>
    <w:p w14:paraId="7BD56B3B">
      <w:pPr>
        <w:spacing w:line="760" w:lineRule="exact"/>
        <w:ind w:left="-619" w:leftChars="-295" w:firstLine="0" w:firstLineChars="0"/>
        <w:jc w:val="center"/>
        <w:rPr>
          <w:rFonts w:hint="eastAsia" w:ascii="黑体" w:hAnsi="黑体" w:eastAsia="黑体" w:cs="黑体"/>
          <w:b/>
          <w:color w:val="auto"/>
          <w:sz w:val="44"/>
          <w:szCs w:val="44"/>
          <w:highlight w:val="none"/>
          <w:lang w:eastAsia="zh-CN"/>
        </w:rPr>
      </w:pPr>
      <w:r>
        <w:rPr>
          <w:rFonts w:hint="eastAsia" w:ascii="黑体" w:hAnsi="黑体" w:eastAsia="黑体" w:cs="黑体"/>
          <w:b/>
          <w:color w:val="auto"/>
          <w:sz w:val="44"/>
          <w:szCs w:val="44"/>
          <w:highlight w:val="none"/>
          <w:lang w:val="en-US" w:eastAsia="zh-CN"/>
        </w:rPr>
        <w:t>BDO产业产品质量检测中心建设仪器采购项目</w:t>
      </w:r>
    </w:p>
    <w:p w14:paraId="7F231D3B">
      <w:pPr>
        <w:pStyle w:val="2"/>
        <w:rPr>
          <w:rFonts w:hint="eastAsia"/>
        </w:rPr>
      </w:pPr>
    </w:p>
    <w:p w14:paraId="31E5B327">
      <w:pPr>
        <w:spacing w:line="760" w:lineRule="exact"/>
        <w:jc w:val="center"/>
        <w:rPr>
          <w:rFonts w:hint="eastAsia" w:ascii="黑体" w:hAnsi="黑体" w:eastAsia="黑体" w:cs="黑体"/>
          <w:b/>
          <w:color w:val="auto"/>
          <w:sz w:val="72"/>
          <w:szCs w:val="72"/>
          <w:highlight w:val="none"/>
          <w:lang w:val="en-US" w:eastAsia="zh-CN"/>
        </w:rPr>
      </w:pPr>
    </w:p>
    <w:p w14:paraId="12C86DFF">
      <w:pPr>
        <w:spacing w:line="760" w:lineRule="exact"/>
        <w:jc w:val="center"/>
        <w:rPr>
          <w:rFonts w:hint="eastAsia" w:ascii="黑体" w:hAnsi="黑体" w:eastAsia="黑体" w:cs="黑体"/>
          <w:b/>
          <w:color w:val="auto"/>
          <w:sz w:val="72"/>
          <w:szCs w:val="72"/>
          <w:highlight w:val="none"/>
        </w:rPr>
      </w:pPr>
      <w:r>
        <w:rPr>
          <w:rFonts w:hint="eastAsia" w:ascii="黑体" w:hAnsi="黑体" w:eastAsia="黑体" w:cs="黑体"/>
          <w:b/>
          <w:color w:val="auto"/>
          <w:sz w:val="72"/>
          <w:szCs w:val="72"/>
          <w:highlight w:val="none"/>
          <w:lang w:val="en-US" w:eastAsia="zh-CN"/>
        </w:rPr>
        <w:t>竞争性磋商</w:t>
      </w:r>
      <w:r>
        <w:rPr>
          <w:rFonts w:hint="eastAsia" w:ascii="黑体" w:hAnsi="黑体" w:eastAsia="黑体" w:cs="黑体"/>
          <w:b/>
          <w:color w:val="auto"/>
          <w:sz w:val="72"/>
          <w:szCs w:val="72"/>
          <w:highlight w:val="none"/>
        </w:rPr>
        <w:t>文件</w:t>
      </w:r>
    </w:p>
    <w:p w14:paraId="0155A3DE">
      <w:pPr>
        <w:spacing w:line="480" w:lineRule="exact"/>
        <w:ind w:firstLine="482" w:firstLineChars="200"/>
        <w:jc w:val="center"/>
        <w:rPr>
          <w:rFonts w:hint="eastAsia" w:ascii="黑体" w:hAnsi="黑体" w:eastAsia="黑体" w:cs="黑体"/>
          <w:b/>
          <w:color w:val="auto"/>
          <w:sz w:val="24"/>
          <w:szCs w:val="24"/>
          <w:highlight w:val="none"/>
        </w:rPr>
      </w:pPr>
    </w:p>
    <w:p w14:paraId="589ADD9B">
      <w:pPr>
        <w:spacing w:line="480" w:lineRule="exact"/>
        <w:jc w:val="center"/>
        <w:rPr>
          <w:rFonts w:hint="default" w:ascii="黑体" w:hAnsi="黑体" w:eastAsia="黑体" w:cs="黑体"/>
          <w:b/>
          <w:color w:val="auto"/>
          <w:sz w:val="24"/>
          <w:szCs w:val="24"/>
          <w:highlight w:val="none"/>
          <w:lang w:val="en-US" w:eastAsia="zh-CN"/>
        </w:rPr>
      </w:pPr>
      <w:r>
        <w:rPr>
          <w:rFonts w:hint="eastAsia" w:ascii="黑体" w:hAnsi="黑体" w:eastAsia="黑体" w:cs="黑体"/>
          <w:b/>
          <w:color w:val="auto"/>
          <w:sz w:val="28"/>
          <w:szCs w:val="28"/>
          <w:highlight w:val="none"/>
        </w:rPr>
        <w:t>项目编号：</w:t>
      </w:r>
      <w:r>
        <w:rPr>
          <w:rFonts w:hint="eastAsia" w:ascii="黑体" w:hAnsi="黑体" w:eastAsia="黑体" w:cs="黑体"/>
          <w:b/>
          <w:color w:val="auto"/>
          <w:sz w:val="28"/>
          <w:szCs w:val="28"/>
          <w:highlight w:val="none"/>
          <w:lang w:eastAsia="zh-CN"/>
        </w:rPr>
        <w:t>2025YFHJ004-CG</w:t>
      </w:r>
    </w:p>
    <w:p w14:paraId="4371C530">
      <w:pPr>
        <w:spacing w:line="480" w:lineRule="exact"/>
        <w:ind w:firstLine="560" w:firstLineChars="200"/>
        <w:jc w:val="center"/>
        <w:rPr>
          <w:rFonts w:hint="eastAsia" w:ascii="黑体" w:hAnsi="黑体" w:eastAsia="黑体" w:cs="黑体"/>
          <w:color w:val="auto"/>
          <w:sz w:val="28"/>
          <w:szCs w:val="28"/>
          <w:highlight w:val="none"/>
        </w:rPr>
      </w:pPr>
    </w:p>
    <w:p w14:paraId="654C5B77">
      <w:pPr>
        <w:pStyle w:val="2"/>
        <w:rPr>
          <w:rFonts w:hint="eastAsia" w:ascii="黑体" w:hAnsi="黑体" w:eastAsia="黑体" w:cs="黑体"/>
          <w:color w:val="auto"/>
          <w:sz w:val="32"/>
          <w:szCs w:val="32"/>
          <w:highlight w:val="none"/>
        </w:rPr>
      </w:pPr>
      <w:r>
        <w:rPr>
          <w:rFonts w:hint="eastAsia" w:ascii="黑体" w:hAnsi="黑体" w:eastAsia="黑体" w:cs="黑体"/>
          <w:b/>
          <w:sz w:val="44"/>
          <w:szCs w:val="52"/>
          <w:highlight w:val="none"/>
        </w:rPr>
        <w:drawing>
          <wp:anchor distT="0" distB="0" distL="114300" distR="114300" simplePos="0" relativeHeight="251661312" behindDoc="0" locked="0" layoutInCell="1" allowOverlap="1">
            <wp:simplePos x="0" y="0"/>
            <wp:positionH relativeFrom="column">
              <wp:posOffset>1645285</wp:posOffset>
            </wp:positionH>
            <wp:positionV relativeFrom="page">
              <wp:posOffset>4902835</wp:posOffset>
            </wp:positionV>
            <wp:extent cx="2322195" cy="1967865"/>
            <wp:effectExtent l="0" t="0" r="1905" b="13335"/>
            <wp:wrapNone/>
            <wp:docPr id="3" name="图片 4" descr="1-YUM FI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1-YUM FIRM"/>
                    <pic:cNvPicPr>
                      <a:picLocks noChangeAspect="1"/>
                    </pic:cNvPicPr>
                  </pic:nvPicPr>
                  <pic:blipFill>
                    <a:blip r:embed="rId10"/>
                    <a:srcRect l="30791" t="21086" r="31622" b="23267"/>
                    <a:stretch>
                      <a:fillRect/>
                    </a:stretch>
                  </pic:blipFill>
                  <pic:spPr>
                    <a:xfrm>
                      <a:off x="0" y="0"/>
                      <a:ext cx="2322195" cy="1967865"/>
                    </a:xfrm>
                    <a:prstGeom prst="rect">
                      <a:avLst/>
                    </a:prstGeom>
                    <a:noFill/>
                    <a:ln>
                      <a:noFill/>
                    </a:ln>
                  </pic:spPr>
                </pic:pic>
              </a:graphicData>
            </a:graphic>
          </wp:anchor>
        </w:drawing>
      </w:r>
    </w:p>
    <w:p w14:paraId="08B7433C">
      <w:pPr>
        <w:pStyle w:val="2"/>
        <w:rPr>
          <w:rFonts w:hint="eastAsia" w:ascii="黑体" w:hAnsi="黑体" w:eastAsia="黑体" w:cs="黑体"/>
          <w:color w:val="auto"/>
          <w:sz w:val="32"/>
          <w:szCs w:val="32"/>
          <w:highlight w:val="none"/>
        </w:rPr>
      </w:pPr>
    </w:p>
    <w:p w14:paraId="6AC0BF30">
      <w:pPr>
        <w:spacing w:line="480" w:lineRule="exact"/>
        <w:rPr>
          <w:rFonts w:hint="eastAsia" w:ascii="黑体" w:hAnsi="黑体" w:eastAsia="黑体" w:cs="黑体"/>
          <w:color w:val="auto"/>
          <w:sz w:val="32"/>
          <w:szCs w:val="32"/>
          <w:highlight w:val="none"/>
        </w:rPr>
      </w:pPr>
    </w:p>
    <w:p w14:paraId="11A24709">
      <w:pPr>
        <w:spacing w:line="480" w:lineRule="exact"/>
        <w:ind w:firstLine="640" w:firstLineChars="200"/>
        <w:rPr>
          <w:rFonts w:hint="eastAsia" w:ascii="黑体" w:hAnsi="黑体" w:eastAsia="黑体" w:cs="黑体"/>
          <w:color w:val="auto"/>
          <w:sz w:val="32"/>
          <w:szCs w:val="32"/>
          <w:highlight w:val="none"/>
        </w:rPr>
      </w:pPr>
    </w:p>
    <w:p w14:paraId="798EEA2E">
      <w:pPr>
        <w:spacing w:line="480" w:lineRule="exact"/>
        <w:rPr>
          <w:rFonts w:hint="eastAsia" w:ascii="黑体" w:hAnsi="黑体" w:eastAsia="黑体" w:cs="黑体"/>
          <w:color w:val="auto"/>
          <w:sz w:val="32"/>
          <w:szCs w:val="32"/>
          <w:highlight w:val="none"/>
        </w:rPr>
      </w:pPr>
    </w:p>
    <w:p w14:paraId="3FDF07B6">
      <w:pPr>
        <w:pStyle w:val="2"/>
        <w:rPr>
          <w:rFonts w:hint="eastAsia" w:ascii="黑体" w:hAnsi="黑体" w:eastAsia="黑体" w:cs="黑体"/>
          <w:color w:val="auto"/>
          <w:sz w:val="32"/>
          <w:szCs w:val="32"/>
          <w:highlight w:val="none"/>
        </w:rPr>
      </w:pPr>
    </w:p>
    <w:p w14:paraId="646C0F33">
      <w:pPr>
        <w:pStyle w:val="2"/>
        <w:rPr>
          <w:rFonts w:hint="eastAsia"/>
        </w:rPr>
      </w:pPr>
    </w:p>
    <w:p w14:paraId="7553FDC8">
      <w:pPr>
        <w:keepNext w:val="0"/>
        <w:keepLines w:val="0"/>
        <w:pageBreakBefore w:val="0"/>
        <w:widowControl w:val="0"/>
        <w:kinsoku/>
        <w:wordWrap/>
        <w:overflowPunct/>
        <w:topLinePunct w:val="0"/>
        <w:autoSpaceDE w:val="0"/>
        <w:autoSpaceDN w:val="0"/>
        <w:bidi w:val="0"/>
        <w:adjustRightInd w:val="0"/>
        <w:snapToGrid/>
        <w:spacing w:line="240" w:lineRule="auto"/>
        <w:ind w:left="3526" w:leftChars="608" w:right="147" w:hanging="2249" w:hangingChars="700"/>
        <w:textAlignment w:val="auto"/>
        <w:rPr>
          <w:rFonts w:hint="eastAsia" w:ascii="黑体" w:hAnsi="黑体" w:eastAsia="黑体" w:cs="黑体"/>
          <w:b/>
          <w:color w:val="auto"/>
          <w:sz w:val="32"/>
          <w:szCs w:val="32"/>
          <w:highlight w:val="none"/>
          <w:lang w:val="en-US" w:eastAsia="zh-CN"/>
        </w:rPr>
      </w:pPr>
    </w:p>
    <w:p w14:paraId="63AE6597">
      <w:pPr>
        <w:pStyle w:val="2"/>
        <w:rPr>
          <w:rFonts w:hint="eastAsia" w:ascii="黑体" w:hAnsi="黑体" w:eastAsia="黑体" w:cs="黑体"/>
          <w:b/>
          <w:color w:val="auto"/>
          <w:sz w:val="32"/>
          <w:szCs w:val="32"/>
          <w:highlight w:val="none"/>
          <w:lang w:val="en-US" w:eastAsia="zh-CN"/>
        </w:rPr>
      </w:pPr>
    </w:p>
    <w:p w14:paraId="59349C2D">
      <w:pPr>
        <w:pStyle w:val="2"/>
        <w:rPr>
          <w:rFonts w:hint="eastAsia" w:ascii="黑体" w:hAnsi="黑体" w:eastAsia="黑体" w:cs="黑体"/>
          <w:b/>
          <w:color w:val="auto"/>
          <w:sz w:val="32"/>
          <w:szCs w:val="32"/>
          <w:highlight w:val="none"/>
          <w:lang w:val="en-US" w:eastAsia="zh-CN"/>
        </w:rPr>
      </w:pPr>
    </w:p>
    <w:p w14:paraId="5D797596">
      <w:pPr>
        <w:keepNext w:val="0"/>
        <w:keepLines w:val="0"/>
        <w:pageBreakBefore w:val="0"/>
        <w:widowControl w:val="0"/>
        <w:kinsoku/>
        <w:wordWrap/>
        <w:overflowPunct/>
        <w:topLinePunct w:val="0"/>
        <w:autoSpaceDE w:val="0"/>
        <w:autoSpaceDN w:val="0"/>
        <w:bidi w:val="0"/>
        <w:adjustRightInd w:val="0"/>
        <w:snapToGrid/>
        <w:spacing w:line="400" w:lineRule="exact"/>
        <w:ind w:right="147" w:firstLine="1205" w:firstLineChars="400"/>
        <w:textAlignment w:val="auto"/>
        <w:rPr>
          <w:rFonts w:hint="eastAsia" w:ascii="黑体" w:hAnsi="黑体" w:eastAsia="黑体" w:cs="黑体"/>
          <w:b/>
          <w:color w:val="auto"/>
          <w:sz w:val="30"/>
          <w:szCs w:val="30"/>
          <w:highlight w:val="none"/>
        </w:rPr>
      </w:pPr>
      <w:r>
        <w:rPr>
          <w:rFonts w:hint="eastAsia" w:ascii="黑体" w:hAnsi="黑体" w:eastAsia="黑体" w:cs="黑体"/>
          <w:b/>
          <w:color w:val="auto"/>
          <w:sz w:val="30"/>
          <w:szCs w:val="30"/>
          <w:highlight w:val="none"/>
          <w:lang w:val="en-US" w:eastAsia="zh-CN"/>
        </w:rPr>
        <w:t>采   购</w:t>
      </w:r>
      <w:r>
        <w:rPr>
          <w:rFonts w:hint="eastAsia" w:ascii="黑体" w:hAnsi="黑体" w:eastAsia="黑体" w:cs="黑体"/>
          <w:b/>
          <w:color w:val="auto"/>
          <w:sz w:val="30"/>
          <w:szCs w:val="30"/>
          <w:highlight w:val="none"/>
        </w:rPr>
        <w:t xml:space="preserve"> </w:t>
      </w:r>
      <w:r>
        <w:rPr>
          <w:rFonts w:hint="eastAsia" w:ascii="黑体" w:hAnsi="黑体" w:eastAsia="黑体" w:cs="黑体"/>
          <w:b/>
          <w:color w:val="auto"/>
          <w:sz w:val="30"/>
          <w:szCs w:val="30"/>
          <w:highlight w:val="none"/>
          <w:lang w:val="en-US" w:eastAsia="zh-CN"/>
        </w:rPr>
        <w:t xml:space="preserve"> </w:t>
      </w:r>
      <w:r>
        <w:rPr>
          <w:rFonts w:hint="eastAsia" w:ascii="黑体" w:hAnsi="黑体" w:eastAsia="黑体" w:cs="黑体"/>
          <w:b/>
          <w:color w:val="auto"/>
          <w:sz w:val="30"/>
          <w:szCs w:val="30"/>
          <w:highlight w:val="none"/>
        </w:rPr>
        <w:t xml:space="preserve"> 人：</w:t>
      </w:r>
      <w:r>
        <w:rPr>
          <w:rFonts w:hint="eastAsia" w:ascii="黑体" w:hAnsi="黑体" w:eastAsia="黑体" w:cs="黑体"/>
          <w:b/>
          <w:color w:val="auto"/>
          <w:sz w:val="30"/>
          <w:szCs w:val="30"/>
          <w:highlight w:val="none"/>
          <w:lang w:val="en-US" w:eastAsia="zh-CN"/>
        </w:rPr>
        <w:t>乌海市检验检测中心</w:t>
      </w:r>
      <w:r>
        <w:rPr>
          <w:rFonts w:hint="eastAsia" w:ascii="黑体" w:hAnsi="黑体" w:eastAsia="黑体" w:cs="黑体"/>
          <w:b/>
          <w:color w:val="auto"/>
          <w:sz w:val="30"/>
          <w:szCs w:val="30"/>
          <w:highlight w:val="none"/>
        </w:rPr>
        <w:t xml:space="preserve">          </w:t>
      </w:r>
    </w:p>
    <w:p w14:paraId="0AE22B83">
      <w:pPr>
        <w:keepNext w:val="0"/>
        <w:keepLines w:val="0"/>
        <w:pageBreakBefore w:val="0"/>
        <w:widowControl w:val="0"/>
        <w:kinsoku/>
        <w:wordWrap/>
        <w:overflowPunct/>
        <w:topLinePunct w:val="0"/>
        <w:bidi w:val="0"/>
        <w:snapToGrid/>
        <w:spacing w:line="400" w:lineRule="exact"/>
        <w:ind w:firstLine="1205" w:firstLineChars="400"/>
        <w:textAlignment w:val="auto"/>
        <w:rPr>
          <w:rFonts w:hint="eastAsia" w:ascii="黑体" w:hAnsi="黑体" w:eastAsia="黑体" w:cs="黑体"/>
          <w:b/>
          <w:color w:val="auto"/>
          <w:sz w:val="30"/>
          <w:szCs w:val="30"/>
          <w:highlight w:val="none"/>
        </w:rPr>
      </w:pPr>
    </w:p>
    <w:p w14:paraId="3047E030">
      <w:pPr>
        <w:keepNext w:val="0"/>
        <w:keepLines w:val="0"/>
        <w:pageBreakBefore w:val="0"/>
        <w:widowControl w:val="0"/>
        <w:kinsoku/>
        <w:wordWrap/>
        <w:overflowPunct/>
        <w:topLinePunct w:val="0"/>
        <w:bidi w:val="0"/>
        <w:snapToGrid/>
        <w:spacing w:line="400" w:lineRule="exact"/>
        <w:ind w:firstLine="1205" w:firstLineChars="400"/>
        <w:textAlignment w:val="auto"/>
        <w:rPr>
          <w:rFonts w:hint="eastAsia" w:ascii="黑体" w:hAnsi="黑体" w:eastAsia="黑体" w:cs="黑体"/>
          <w:b/>
          <w:color w:val="auto"/>
          <w:sz w:val="30"/>
          <w:szCs w:val="30"/>
          <w:highlight w:val="none"/>
        </w:rPr>
      </w:pPr>
      <w:r>
        <w:rPr>
          <w:rFonts w:hint="eastAsia" w:ascii="黑体" w:hAnsi="黑体" w:eastAsia="黑体" w:cs="黑体"/>
          <w:b/>
          <w:color w:val="auto"/>
          <w:sz w:val="30"/>
          <w:szCs w:val="30"/>
          <w:highlight w:val="none"/>
          <w:lang w:val="en-US" w:eastAsia="zh-CN"/>
        </w:rPr>
        <w:t>采购</w:t>
      </w:r>
      <w:r>
        <w:rPr>
          <w:rFonts w:hint="eastAsia" w:ascii="黑体" w:hAnsi="黑体" w:eastAsia="黑体" w:cs="黑体"/>
          <w:b/>
          <w:color w:val="auto"/>
          <w:sz w:val="30"/>
          <w:szCs w:val="30"/>
          <w:highlight w:val="none"/>
        </w:rPr>
        <w:t xml:space="preserve">代理机构：内蒙古元沣工程项目管理有限公司         </w:t>
      </w:r>
    </w:p>
    <w:p w14:paraId="05BCC160">
      <w:pPr>
        <w:keepNext w:val="0"/>
        <w:keepLines w:val="0"/>
        <w:pageBreakBefore w:val="0"/>
        <w:widowControl w:val="0"/>
        <w:kinsoku/>
        <w:wordWrap/>
        <w:overflowPunct/>
        <w:topLinePunct w:val="0"/>
        <w:bidi w:val="0"/>
        <w:snapToGrid/>
        <w:spacing w:line="400" w:lineRule="exact"/>
        <w:ind w:firstLine="1205" w:firstLineChars="400"/>
        <w:textAlignment w:val="auto"/>
        <w:rPr>
          <w:rFonts w:hint="eastAsia" w:ascii="黑体" w:hAnsi="黑体" w:eastAsia="黑体" w:cs="黑体"/>
          <w:b/>
          <w:color w:val="auto"/>
          <w:sz w:val="30"/>
          <w:szCs w:val="30"/>
          <w:highlight w:val="none"/>
        </w:rPr>
      </w:pPr>
    </w:p>
    <w:p w14:paraId="2106AA9B">
      <w:pPr>
        <w:keepNext w:val="0"/>
        <w:keepLines w:val="0"/>
        <w:pageBreakBefore w:val="0"/>
        <w:widowControl w:val="0"/>
        <w:kinsoku/>
        <w:wordWrap/>
        <w:overflowPunct/>
        <w:topLinePunct w:val="0"/>
        <w:bidi w:val="0"/>
        <w:snapToGrid/>
        <w:spacing w:line="400" w:lineRule="exact"/>
        <w:ind w:firstLine="1205" w:firstLineChars="400"/>
        <w:textAlignment w:val="auto"/>
        <w:rPr>
          <w:rFonts w:hint="eastAsia" w:ascii="黑体" w:hAnsi="黑体" w:eastAsia="黑体" w:cs="黑体"/>
          <w:b/>
          <w:color w:val="auto"/>
          <w:sz w:val="30"/>
          <w:szCs w:val="30"/>
          <w:highlight w:val="none"/>
          <w:lang w:eastAsia="zh-CN"/>
        </w:rPr>
      </w:pPr>
      <w:r>
        <w:rPr>
          <w:rFonts w:hint="eastAsia" w:ascii="黑体" w:hAnsi="黑体" w:eastAsia="黑体" w:cs="黑体"/>
          <w:b/>
          <w:color w:val="auto"/>
          <w:sz w:val="30"/>
          <w:szCs w:val="30"/>
          <w:highlight w:val="none"/>
        </w:rPr>
        <w:t xml:space="preserve">日 </w:t>
      </w:r>
      <w:r>
        <w:rPr>
          <w:rFonts w:hint="eastAsia" w:ascii="黑体" w:hAnsi="黑体" w:eastAsia="黑体" w:cs="黑体"/>
          <w:b/>
          <w:color w:val="auto"/>
          <w:sz w:val="30"/>
          <w:szCs w:val="30"/>
          <w:highlight w:val="none"/>
          <w:lang w:val="en-US" w:eastAsia="zh-CN"/>
        </w:rPr>
        <w:t xml:space="preserve">      </w:t>
      </w:r>
      <w:r>
        <w:rPr>
          <w:rFonts w:hint="eastAsia" w:ascii="黑体" w:hAnsi="黑体" w:eastAsia="黑体" w:cs="黑体"/>
          <w:b/>
          <w:color w:val="auto"/>
          <w:sz w:val="30"/>
          <w:szCs w:val="30"/>
          <w:highlight w:val="none"/>
        </w:rPr>
        <w:t xml:space="preserve"> 期：</w:t>
      </w:r>
      <w:r>
        <w:rPr>
          <w:rFonts w:hint="eastAsia" w:ascii="黑体" w:hAnsi="黑体" w:eastAsia="黑体" w:cs="黑体"/>
          <w:b/>
          <w:color w:val="auto"/>
          <w:sz w:val="30"/>
          <w:szCs w:val="30"/>
          <w:highlight w:val="none"/>
          <w:lang w:eastAsia="zh-CN"/>
        </w:rPr>
        <w:t>二○二</w:t>
      </w:r>
      <w:r>
        <w:rPr>
          <w:rFonts w:hint="eastAsia" w:ascii="黑体" w:hAnsi="黑体" w:eastAsia="黑体" w:cs="黑体"/>
          <w:b/>
          <w:color w:val="auto"/>
          <w:sz w:val="30"/>
          <w:szCs w:val="30"/>
          <w:highlight w:val="none"/>
          <w:lang w:val="en-US" w:eastAsia="zh-CN"/>
        </w:rPr>
        <w:t>五</w:t>
      </w:r>
      <w:r>
        <w:rPr>
          <w:rFonts w:hint="eastAsia" w:ascii="黑体" w:hAnsi="黑体" w:eastAsia="黑体" w:cs="黑体"/>
          <w:b/>
          <w:color w:val="auto"/>
          <w:sz w:val="30"/>
          <w:szCs w:val="30"/>
          <w:highlight w:val="none"/>
          <w:lang w:eastAsia="zh-CN"/>
        </w:rPr>
        <w:t>年</w:t>
      </w:r>
      <w:r>
        <w:rPr>
          <w:rFonts w:hint="eastAsia" w:ascii="黑体" w:hAnsi="黑体" w:eastAsia="黑体" w:cs="黑体"/>
          <w:b/>
          <w:color w:val="auto"/>
          <w:sz w:val="30"/>
          <w:szCs w:val="30"/>
          <w:highlight w:val="none"/>
          <w:lang w:val="en-US" w:eastAsia="zh-CN"/>
        </w:rPr>
        <w:t>五</w:t>
      </w:r>
      <w:r>
        <w:rPr>
          <w:rFonts w:hint="eastAsia" w:ascii="黑体" w:hAnsi="黑体" w:eastAsia="黑体" w:cs="黑体"/>
          <w:b/>
          <w:color w:val="auto"/>
          <w:sz w:val="30"/>
          <w:szCs w:val="30"/>
          <w:highlight w:val="none"/>
          <w:lang w:eastAsia="zh-CN"/>
        </w:rPr>
        <w:t>月</w:t>
      </w:r>
    </w:p>
    <w:p w14:paraId="0B5E8CBC">
      <w:pPr>
        <w:rPr>
          <w:rFonts w:hint="eastAsia" w:ascii="黑体" w:hAnsi="黑体" w:eastAsia="黑体" w:cs="黑体"/>
          <w:b/>
          <w:color w:val="auto"/>
          <w:sz w:val="28"/>
          <w:szCs w:val="28"/>
          <w:highlight w:val="none"/>
          <w:lang w:eastAsia="zh-CN"/>
        </w:rPr>
      </w:pPr>
      <w:r>
        <w:rPr>
          <w:rFonts w:hint="eastAsia" w:ascii="黑体" w:hAnsi="黑体" w:eastAsia="黑体" w:cs="黑体"/>
          <w:b/>
          <w:color w:val="auto"/>
          <w:sz w:val="28"/>
          <w:szCs w:val="28"/>
          <w:highlight w:val="none"/>
          <w:lang w:eastAsia="zh-CN"/>
        </w:rPr>
        <w:br w:type="page"/>
      </w:r>
    </w:p>
    <w:p w14:paraId="3A35B0F0">
      <w:pPr>
        <w:pStyle w:val="2"/>
        <w:rPr>
          <w:rFonts w:hint="eastAsia"/>
          <w:lang w:eastAsia="zh-CN"/>
        </w:rPr>
      </w:pPr>
    </w:p>
    <w:p w14:paraId="0D56D39B">
      <w:pPr>
        <w:jc w:val="center"/>
        <w:rPr>
          <w:rFonts w:hint="eastAsia" w:ascii="黑体" w:hAnsi="黑体" w:eastAsia="黑体" w:cs="黑体"/>
          <w:sz w:val="24"/>
          <w:szCs w:val="24"/>
        </w:rPr>
      </w:pPr>
    </w:p>
    <w:bookmarkEnd w:id="0"/>
    <w:p w14:paraId="0F7DBEDA">
      <w:pPr>
        <w:jc w:val="center"/>
        <w:rPr>
          <w:rFonts w:hint="eastAsia" w:ascii="黑体" w:hAnsi="黑体" w:eastAsia="黑体" w:cs="黑体"/>
          <w:b/>
          <w:bCs/>
          <w:sz w:val="48"/>
          <w:szCs w:val="48"/>
        </w:rPr>
      </w:pPr>
      <w:r>
        <w:rPr>
          <w:rFonts w:hint="eastAsia" w:ascii="黑体" w:hAnsi="黑体" w:eastAsia="黑体" w:cs="黑体"/>
          <w:b/>
          <w:bCs/>
          <w:sz w:val="48"/>
          <w:szCs w:val="48"/>
        </w:rPr>
        <w:t xml:space="preserve">目 </w:t>
      </w:r>
      <w:r>
        <w:rPr>
          <w:rFonts w:hint="eastAsia" w:ascii="黑体" w:hAnsi="黑体" w:eastAsia="黑体" w:cs="黑体"/>
          <w:b/>
          <w:bCs/>
          <w:sz w:val="48"/>
          <w:szCs w:val="48"/>
          <w:lang w:val="en-US" w:eastAsia="zh-CN"/>
        </w:rPr>
        <w:t xml:space="preserve"> </w:t>
      </w:r>
      <w:r>
        <w:rPr>
          <w:rFonts w:hint="eastAsia" w:ascii="黑体" w:hAnsi="黑体" w:eastAsia="黑体" w:cs="黑体"/>
          <w:b/>
          <w:bCs/>
          <w:sz w:val="48"/>
          <w:szCs w:val="48"/>
        </w:rPr>
        <w:t xml:space="preserve"> 录</w:t>
      </w:r>
    </w:p>
    <w:p w14:paraId="2B8C752A">
      <w:pPr>
        <w:pStyle w:val="2"/>
        <w:rPr>
          <w:rFonts w:hint="eastAsia" w:ascii="黑体" w:hAnsi="黑体" w:eastAsia="黑体" w:cs="黑体"/>
          <w:b/>
          <w:bCs/>
          <w:sz w:val="44"/>
          <w:szCs w:val="44"/>
        </w:rPr>
      </w:pPr>
    </w:p>
    <w:p w14:paraId="27A08837">
      <w:pPr>
        <w:pStyle w:val="2"/>
        <w:rPr>
          <w:rFonts w:hint="eastAsia" w:ascii="黑体" w:hAnsi="黑体" w:eastAsia="黑体" w:cs="黑体"/>
          <w:b/>
          <w:bCs/>
          <w:sz w:val="44"/>
          <w:szCs w:val="44"/>
        </w:rPr>
      </w:pPr>
    </w:p>
    <w:p w14:paraId="4A92262E">
      <w:pPr>
        <w:pStyle w:val="27"/>
        <w:tabs>
          <w:tab w:val="right" w:leader="dot" w:pos="9240"/>
        </w:tabs>
        <w:spacing w:line="600" w:lineRule="auto"/>
        <w:rPr>
          <w:sz w:val="28"/>
          <w:szCs w:val="28"/>
        </w:rPr>
      </w:pPr>
      <w:r>
        <w:rPr>
          <w:rFonts w:hint="eastAsia" w:ascii="黑体" w:hAnsi="黑体" w:eastAsia="黑体" w:cs="黑体"/>
        </w:rPr>
        <w:fldChar w:fldCharType="begin"/>
      </w:r>
      <w:r>
        <w:rPr>
          <w:rFonts w:hint="eastAsia" w:ascii="黑体" w:hAnsi="黑体" w:eastAsia="黑体" w:cs="黑体"/>
        </w:rPr>
        <w:instrText xml:space="preserve"> TOC \o "1-3" \h \z \u </w:instrText>
      </w:r>
      <w:r>
        <w:rPr>
          <w:rFonts w:hint="eastAsia" w:ascii="黑体" w:hAnsi="黑体" w:eastAsia="黑体" w:cs="黑体"/>
        </w:rPr>
        <w:fldChar w:fldCharType="separate"/>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_Toc25428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 xml:space="preserve">第一章  </w:t>
      </w:r>
      <w:r>
        <w:rPr>
          <w:rFonts w:hint="eastAsia" w:ascii="黑体" w:hAnsi="黑体" w:eastAsia="黑体" w:cs="黑体"/>
          <w:sz w:val="28"/>
          <w:szCs w:val="28"/>
        </w:rPr>
        <w:t>竞争性磋商</w:t>
      </w:r>
      <w:r>
        <w:rPr>
          <w:rFonts w:hint="eastAsia" w:ascii="黑体" w:hAnsi="黑体" w:eastAsia="黑体" w:cs="黑体"/>
          <w:sz w:val="28"/>
          <w:szCs w:val="28"/>
          <w:lang w:eastAsia="zh-CN"/>
        </w:rPr>
        <w:t>公告</w:t>
      </w:r>
      <w:r>
        <w:rPr>
          <w:sz w:val="28"/>
          <w:szCs w:val="28"/>
        </w:rPr>
        <w:tab/>
      </w:r>
      <w:r>
        <w:rPr>
          <w:sz w:val="28"/>
          <w:szCs w:val="28"/>
        </w:rPr>
        <w:fldChar w:fldCharType="begin"/>
      </w:r>
      <w:r>
        <w:rPr>
          <w:sz w:val="28"/>
          <w:szCs w:val="28"/>
        </w:rPr>
        <w:instrText xml:space="preserve"> PAGEREF _Toc25428 \h </w:instrText>
      </w:r>
      <w:r>
        <w:rPr>
          <w:sz w:val="28"/>
          <w:szCs w:val="28"/>
        </w:rPr>
        <w:fldChar w:fldCharType="separate"/>
      </w:r>
      <w:r>
        <w:rPr>
          <w:sz w:val="28"/>
          <w:szCs w:val="28"/>
        </w:rPr>
        <w:t>3</w:t>
      </w:r>
      <w:r>
        <w:rPr>
          <w:sz w:val="28"/>
          <w:szCs w:val="28"/>
        </w:rPr>
        <w:fldChar w:fldCharType="end"/>
      </w:r>
      <w:r>
        <w:rPr>
          <w:rFonts w:hint="eastAsia" w:ascii="黑体" w:hAnsi="黑体" w:eastAsia="黑体" w:cs="黑体"/>
          <w:sz w:val="28"/>
          <w:szCs w:val="28"/>
        </w:rPr>
        <w:fldChar w:fldCharType="end"/>
      </w:r>
    </w:p>
    <w:p w14:paraId="266B99C1">
      <w:pPr>
        <w:pStyle w:val="27"/>
        <w:tabs>
          <w:tab w:val="right" w:leader="dot" w:pos="9240"/>
        </w:tabs>
        <w:spacing w:line="600" w:lineRule="auto"/>
        <w:rPr>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_Toc30626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val="en-US" w:eastAsia="zh-CN"/>
        </w:rPr>
        <w:t>二</w:t>
      </w:r>
      <w:r>
        <w:rPr>
          <w:rFonts w:hint="eastAsia" w:ascii="黑体" w:hAnsi="黑体" w:eastAsia="黑体" w:cs="黑体"/>
          <w:sz w:val="28"/>
          <w:szCs w:val="28"/>
        </w:rPr>
        <w:t>章  供应商须知</w:t>
      </w:r>
      <w:r>
        <w:rPr>
          <w:sz w:val="28"/>
          <w:szCs w:val="28"/>
        </w:rPr>
        <w:tab/>
      </w:r>
      <w:r>
        <w:rPr>
          <w:sz w:val="28"/>
          <w:szCs w:val="28"/>
        </w:rPr>
        <w:fldChar w:fldCharType="begin"/>
      </w:r>
      <w:r>
        <w:rPr>
          <w:sz w:val="28"/>
          <w:szCs w:val="28"/>
        </w:rPr>
        <w:instrText xml:space="preserve"> PAGEREF _Toc30626 \h </w:instrText>
      </w:r>
      <w:r>
        <w:rPr>
          <w:sz w:val="28"/>
          <w:szCs w:val="28"/>
        </w:rPr>
        <w:fldChar w:fldCharType="separate"/>
      </w:r>
      <w:r>
        <w:rPr>
          <w:sz w:val="28"/>
          <w:szCs w:val="28"/>
        </w:rPr>
        <w:t>3</w:t>
      </w:r>
      <w:r>
        <w:rPr>
          <w:sz w:val="28"/>
          <w:szCs w:val="28"/>
        </w:rPr>
        <w:fldChar w:fldCharType="end"/>
      </w:r>
      <w:r>
        <w:rPr>
          <w:rFonts w:hint="eastAsia" w:ascii="黑体" w:hAnsi="黑体" w:eastAsia="黑体" w:cs="黑体"/>
          <w:sz w:val="28"/>
          <w:szCs w:val="28"/>
        </w:rPr>
        <w:fldChar w:fldCharType="end"/>
      </w:r>
    </w:p>
    <w:p w14:paraId="6C0714FA">
      <w:pPr>
        <w:pStyle w:val="27"/>
        <w:tabs>
          <w:tab w:val="right" w:leader="dot" w:pos="9240"/>
        </w:tabs>
        <w:spacing w:line="600" w:lineRule="auto"/>
        <w:rPr>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_Toc18674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eastAsia="zh-CN"/>
        </w:rPr>
        <w:t>三</w:t>
      </w:r>
      <w:r>
        <w:rPr>
          <w:rFonts w:hint="eastAsia" w:ascii="黑体" w:hAnsi="黑体" w:eastAsia="黑体" w:cs="黑体"/>
          <w:sz w:val="28"/>
          <w:szCs w:val="28"/>
        </w:rPr>
        <w:t xml:space="preserve">章  </w:t>
      </w:r>
      <w:r>
        <w:rPr>
          <w:rFonts w:hint="eastAsia" w:ascii="黑体" w:hAnsi="黑体" w:eastAsia="黑体" w:cs="黑体"/>
          <w:sz w:val="28"/>
          <w:szCs w:val="28"/>
          <w:lang w:eastAsia="zh-CN"/>
        </w:rPr>
        <w:t>合同文件格式</w:t>
      </w:r>
      <w:r>
        <w:rPr>
          <w:sz w:val="28"/>
          <w:szCs w:val="28"/>
        </w:rPr>
        <w:tab/>
      </w:r>
      <w:r>
        <w:rPr>
          <w:sz w:val="28"/>
          <w:szCs w:val="28"/>
        </w:rPr>
        <w:fldChar w:fldCharType="begin"/>
      </w:r>
      <w:r>
        <w:rPr>
          <w:sz w:val="28"/>
          <w:szCs w:val="28"/>
        </w:rPr>
        <w:instrText xml:space="preserve"> PAGEREF _Toc18674 \h </w:instrText>
      </w:r>
      <w:r>
        <w:rPr>
          <w:sz w:val="28"/>
          <w:szCs w:val="28"/>
        </w:rPr>
        <w:fldChar w:fldCharType="separate"/>
      </w:r>
      <w:r>
        <w:rPr>
          <w:sz w:val="28"/>
          <w:szCs w:val="28"/>
        </w:rPr>
        <w:t>27</w:t>
      </w:r>
      <w:r>
        <w:rPr>
          <w:sz w:val="28"/>
          <w:szCs w:val="28"/>
        </w:rPr>
        <w:fldChar w:fldCharType="end"/>
      </w:r>
      <w:r>
        <w:rPr>
          <w:rFonts w:hint="eastAsia" w:ascii="黑体" w:hAnsi="黑体" w:eastAsia="黑体" w:cs="黑体"/>
          <w:sz w:val="28"/>
          <w:szCs w:val="28"/>
        </w:rPr>
        <w:fldChar w:fldCharType="end"/>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_Toc32545 </w:instrText>
      </w:r>
      <w:r>
        <w:rPr>
          <w:rFonts w:hint="eastAsia" w:ascii="黑体" w:hAnsi="黑体" w:eastAsia="黑体" w:cs="黑体"/>
          <w:sz w:val="28"/>
          <w:szCs w:val="28"/>
        </w:rPr>
        <w:fldChar w:fldCharType="separate"/>
      </w:r>
      <w:r>
        <w:rPr>
          <w:rFonts w:hint="eastAsia" w:ascii="黑体" w:hAnsi="黑体" w:eastAsia="黑体" w:cs="黑体"/>
          <w:sz w:val="28"/>
          <w:szCs w:val="28"/>
        </w:rPr>
        <w:fldChar w:fldCharType="end"/>
      </w:r>
    </w:p>
    <w:p w14:paraId="726FDE53">
      <w:pPr>
        <w:pStyle w:val="27"/>
        <w:tabs>
          <w:tab w:val="right" w:leader="dot" w:pos="9240"/>
        </w:tabs>
        <w:spacing w:line="600" w:lineRule="auto"/>
        <w:rPr>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_Toc17458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eastAsia="zh-CN"/>
        </w:rPr>
        <w:t>四</w:t>
      </w:r>
      <w:r>
        <w:rPr>
          <w:rFonts w:hint="eastAsia" w:ascii="黑体" w:hAnsi="黑体" w:eastAsia="黑体" w:cs="黑体"/>
          <w:sz w:val="28"/>
          <w:szCs w:val="28"/>
        </w:rPr>
        <w:t>章  评审办法</w:t>
      </w:r>
      <w:r>
        <w:rPr>
          <w:sz w:val="28"/>
          <w:szCs w:val="28"/>
        </w:rPr>
        <w:tab/>
      </w:r>
      <w:r>
        <w:rPr>
          <w:sz w:val="28"/>
          <w:szCs w:val="28"/>
        </w:rPr>
        <w:fldChar w:fldCharType="begin"/>
      </w:r>
      <w:r>
        <w:rPr>
          <w:sz w:val="28"/>
          <w:szCs w:val="28"/>
        </w:rPr>
        <w:instrText xml:space="preserve"> PAGEREF _Toc17458 \h </w:instrText>
      </w:r>
      <w:r>
        <w:rPr>
          <w:sz w:val="28"/>
          <w:szCs w:val="28"/>
        </w:rPr>
        <w:fldChar w:fldCharType="separate"/>
      </w:r>
      <w:r>
        <w:rPr>
          <w:sz w:val="28"/>
          <w:szCs w:val="28"/>
        </w:rPr>
        <w:t>34</w:t>
      </w:r>
      <w:r>
        <w:rPr>
          <w:sz w:val="28"/>
          <w:szCs w:val="28"/>
        </w:rPr>
        <w:fldChar w:fldCharType="end"/>
      </w:r>
      <w:r>
        <w:rPr>
          <w:rFonts w:hint="eastAsia" w:ascii="黑体" w:hAnsi="黑体" w:eastAsia="黑体" w:cs="黑体"/>
          <w:sz w:val="28"/>
          <w:szCs w:val="28"/>
        </w:rPr>
        <w:fldChar w:fldCharType="end"/>
      </w:r>
    </w:p>
    <w:p w14:paraId="1E36770E">
      <w:pPr>
        <w:pStyle w:val="27"/>
        <w:tabs>
          <w:tab w:val="right" w:leader="dot" w:pos="9240"/>
        </w:tabs>
        <w:spacing w:line="600" w:lineRule="auto"/>
        <w:rPr>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_Toc11271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第五章</w:t>
      </w:r>
      <w:r>
        <w:rPr>
          <w:rFonts w:hint="eastAsia" w:ascii="黑体" w:hAnsi="黑体" w:eastAsia="黑体" w:cs="黑体"/>
          <w:sz w:val="28"/>
          <w:szCs w:val="28"/>
        </w:rPr>
        <w:t xml:space="preserve"> </w:t>
      </w:r>
      <w:r>
        <w:rPr>
          <w:rFonts w:hint="eastAsia" w:ascii="黑体" w:hAnsi="黑体" w:eastAsia="黑体" w:cs="黑体"/>
          <w:sz w:val="28"/>
          <w:szCs w:val="28"/>
          <w:lang w:val="en-US" w:eastAsia="zh-CN"/>
        </w:rPr>
        <w:t xml:space="preserve"> </w:t>
      </w:r>
      <w:r>
        <w:rPr>
          <w:rFonts w:hint="eastAsia" w:ascii="黑体" w:hAnsi="黑体" w:eastAsia="黑体" w:cs="黑体"/>
          <w:sz w:val="28"/>
          <w:szCs w:val="28"/>
          <w:lang w:eastAsia="zh-CN"/>
        </w:rPr>
        <w:t>采购人要求</w:t>
      </w:r>
      <w:r>
        <w:rPr>
          <w:sz w:val="28"/>
          <w:szCs w:val="28"/>
        </w:rPr>
        <w:tab/>
      </w:r>
      <w:r>
        <w:rPr>
          <w:sz w:val="28"/>
          <w:szCs w:val="28"/>
        </w:rPr>
        <w:fldChar w:fldCharType="begin"/>
      </w:r>
      <w:r>
        <w:rPr>
          <w:sz w:val="28"/>
          <w:szCs w:val="28"/>
        </w:rPr>
        <w:instrText xml:space="preserve"> PAGEREF _Toc11271 \h </w:instrText>
      </w:r>
      <w:r>
        <w:rPr>
          <w:sz w:val="28"/>
          <w:szCs w:val="28"/>
        </w:rPr>
        <w:fldChar w:fldCharType="separate"/>
      </w:r>
      <w:r>
        <w:rPr>
          <w:sz w:val="28"/>
          <w:szCs w:val="28"/>
        </w:rPr>
        <w:t>38</w:t>
      </w:r>
      <w:r>
        <w:rPr>
          <w:sz w:val="28"/>
          <w:szCs w:val="28"/>
        </w:rPr>
        <w:fldChar w:fldCharType="end"/>
      </w:r>
      <w:r>
        <w:rPr>
          <w:rFonts w:hint="eastAsia" w:ascii="黑体" w:hAnsi="黑体" w:eastAsia="黑体" w:cs="黑体"/>
          <w:sz w:val="28"/>
          <w:szCs w:val="28"/>
        </w:rPr>
        <w:fldChar w:fldCharType="end"/>
      </w:r>
    </w:p>
    <w:p w14:paraId="0E4D41E6">
      <w:pPr>
        <w:pStyle w:val="27"/>
        <w:tabs>
          <w:tab w:val="right" w:leader="dot" w:pos="9240"/>
        </w:tabs>
        <w:spacing w:line="600" w:lineRule="auto"/>
        <w:rPr>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_Toc20186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val="en-US" w:eastAsia="zh-CN"/>
        </w:rPr>
        <w:t>六</w:t>
      </w:r>
      <w:r>
        <w:rPr>
          <w:rFonts w:hint="eastAsia" w:ascii="黑体" w:hAnsi="黑体" w:eastAsia="黑体" w:cs="黑体"/>
          <w:sz w:val="28"/>
          <w:szCs w:val="28"/>
        </w:rPr>
        <w:t>章  响应文件格式</w:t>
      </w:r>
      <w:r>
        <w:rPr>
          <w:sz w:val="28"/>
          <w:szCs w:val="28"/>
        </w:rPr>
        <w:tab/>
      </w:r>
      <w:r>
        <w:rPr>
          <w:sz w:val="28"/>
          <w:szCs w:val="28"/>
        </w:rPr>
        <w:fldChar w:fldCharType="begin"/>
      </w:r>
      <w:r>
        <w:rPr>
          <w:sz w:val="28"/>
          <w:szCs w:val="28"/>
        </w:rPr>
        <w:instrText xml:space="preserve"> PAGEREF _Toc20186 \h </w:instrText>
      </w:r>
      <w:r>
        <w:rPr>
          <w:sz w:val="28"/>
          <w:szCs w:val="28"/>
        </w:rPr>
        <w:fldChar w:fldCharType="separate"/>
      </w:r>
      <w:r>
        <w:rPr>
          <w:sz w:val="28"/>
          <w:szCs w:val="28"/>
        </w:rPr>
        <w:t>46</w:t>
      </w:r>
      <w:r>
        <w:rPr>
          <w:sz w:val="28"/>
          <w:szCs w:val="28"/>
        </w:rPr>
        <w:fldChar w:fldCharType="end"/>
      </w:r>
      <w:r>
        <w:rPr>
          <w:rFonts w:hint="eastAsia" w:ascii="黑体" w:hAnsi="黑体" w:eastAsia="黑体" w:cs="黑体"/>
          <w:sz w:val="28"/>
          <w:szCs w:val="28"/>
        </w:rPr>
        <w:fldChar w:fldCharType="end"/>
      </w:r>
    </w:p>
    <w:p w14:paraId="23135E6A">
      <w:pPr>
        <w:pStyle w:val="32"/>
        <w:tabs>
          <w:tab w:val="right" w:pos="4000"/>
          <w:tab w:val="right" w:leader="dot" w:pos="9240"/>
          <w:tab w:val="clear" w:pos="9060"/>
        </w:tabs>
        <w:spacing w:line="600" w:lineRule="auto"/>
        <w:rPr>
          <w:sz w:val="28"/>
          <w:szCs w:val="28"/>
        </w:rPr>
      </w:pPr>
    </w:p>
    <w:p w14:paraId="7796005A">
      <w:pPr>
        <w:pStyle w:val="32"/>
        <w:tabs>
          <w:tab w:val="right" w:leader="dot" w:pos="9240"/>
          <w:tab w:val="clear" w:pos="9060"/>
        </w:tabs>
      </w:pPr>
    </w:p>
    <w:p w14:paraId="7F6237E1">
      <w:pPr>
        <w:spacing w:line="420" w:lineRule="exact"/>
        <w:jc w:val="center"/>
        <w:rPr>
          <w:rFonts w:hint="eastAsia" w:ascii="黑体" w:hAnsi="黑体" w:eastAsia="黑体" w:cs="黑体"/>
        </w:rPr>
      </w:pPr>
      <w:r>
        <w:rPr>
          <w:rFonts w:hint="eastAsia" w:ascii="黑体" w:hAnsi="黑体" w:eastAsia="黑体" w:cs="黑体"/>
        </w:rPr>
        <w:fldChar w:fldCharType="end"/>
      </w:r>
      <w:bookmarkStart w:id="1" w:name="_Toc421834139"/>
    </w:p>
    <w:p w14:paraId="10A198A6">
      <w:pPr>
        <w:spacing w:line="420" w:lineRule="exact"/>
        <w:jc w:val="center"/>
        <w:rPr>
          <w:rFonts w:hint="eastAsia" w:ascii="黑体" w:hAnsi="黑体" w:eastAsia="黑体" w:cs="黑体"/>
        </w:rPr>
      </w:pPr>
    </w:p>
    <w:p w14:paraId="3B3C5079">
      <w:pPr>
        <w:pStyle w:val="2"/>
        <w:rPr>
          <w:rFonts w:hint="eastAsia" w:ascii="黑体" w:hAnsi="黑体" w:eastAsia="黑体" w:cs="黑体"/>
        </w:rPr>
      </w:pPr>
    </w:p>
    <w:p w14:paraId="5EE5F04A">
      <w:pPr>
        <w:pStyle w:val="2"/>
        <w:rPr>
          <w:rFonts w:hint="eastAsia" w:ascii="黑体" w:hAnsi="黑体" w:eastAsia="黑体" w:cs="黑体"/>
        </w:rPr>
      </w:pPr>
    </w:p>
    <w:p w14:paraId="452C228A">
      <w:pPr>
        <w:pStyle w:val="2"/>
        <w:rPr>
          <w:rFonts w:hint="eastAsia" w:ascii="黑体" w:hAnsi="黑体" w:eastAsia="黑体" w:cs="黑体"/>
        </w:rPr>
      </w:pPr>
    </w:p>
    <w:p w14:paraId="40FF058D">
      <w:pPr>
        <w:pStyle w:val="2"/>
        <w:rPr>
          <w:rFonts w:hint="eastAsia" w:ascii="黑体" w:hAnsi="黑体" w:eastAsia="黑体" w:cs="黑体"/>
        </w:rPr>
      </w:pPr>
    </w:p>
    <w:p w14:paraId="31FF9E38">
      <w:pPr>
        <w:pStyle w:val="2"/>
        <w:rPr>
          <w:rFonts w:hint="eastAsia" w:ascii="黑体" w:hAnsi="黑体" w:eastAsia="黑体" w:cs="黑体"/>
        </w:rPr>
      </w:pPr>
    </w:p>
    <w:p w14:paraId="79DA83D3">
      <w:pPr>
        <w:pStyle w:val="2"/>
        <w:rPr>
          <w:rFonts w:hint="eastAsia" w:ascii="黑体" w:hAnsi="黑体" w:eastAsia="黑体" w:cs="黑体"/>
        </w:rPr>
      </w:pPr>
    </w:p>
    <w:p w14:paraId="0700AD11">
      <w:pPr>
        <w:pStyle w:val="2"/>
        <w:rPr>
          <w:rFonts w:hint="eastAsia" w:ascii="黑体" w:hAnsi="黑体" w:eastAsia="黑体" w:cs="黑体"/>
        </w:rPr>
      </w:pPr>
    </w:p>
    <w:p w14:paraId="2A9C4E0B">
      <w:pPr>
        <w:pStyle w:val="2"/>
        <w:rPr>
          <w:rFonts w:hint="eastAsia" w:ascii="黑体" w:hAnsi="黑体" w:eastAsia="黑体" w:cs="黑体"/>
        </w:rPr>
      </w:pPr>
    </w:p>
    <w:p w14:paraId="1E413C98">
      <w:pPr>
        <w:pStyle w:val="2"/>
        <w:rPr>
          <w:rFonts w:hint="eastAsia" w:ascii="黑体" w:hAnsi="黑体" w:eastAsia="黑体" w:cs="黑体"/>
        </w:rPr>
      </w:pPr>
    </w:p>
    <w:p w14:paraId="291C5EC3">
      <w:pPr>
        <w:pStyle w:val="2"/>
        <w:rPr>
          <w:rFonts w:hint="eastAsia" w:ascii="黑体" w:hAnsi="黑体" w:eastAsia="黑体" w:cs="黑体"/>
        </w:rPr>
      </w:pPr>
    </w:p>
    <w:p w14:paraId="26BDD285">
      <w:pPr>
        <w:pStyle w:val="2"/>
        <w:rPr>
          <w:rFonts w:hint="eastAsia" w:ascii="黑体" w:hAnsi="黑体" w:eastAsia="黑体" w:cs="黑体"/>
        </w:rPr>
      </w:pPr>
    </w:p>
    <w:p w14:paraId="7F49BA8A">
      <w:pPr>
        <w:pStyle w:val="3"/>
        <w:numPr>
          <w:ilvl w:val="0"/>
          <w:numId w:val="0"/>
        </w:numPr>
        <w:bidi w:val="0"/>
        <w:jc w:val="center"/>
        <w:rPr>
          <w:rFonts w:hint="eastAsia" w:ascii="黑体" w:hAnsi="黑体" w:eastAsia="黑体" w:cs="黑体"/>
          <w:lang w:val="en-US" w:eastAsia="zh-CN"/>
        </w:rPr>
        <w:sectPr>
          <w:footerReference r:id="rId3" w:type="default"/>
          <w:pgSz w:w="11906" w:h="16838"/>
          <w:pgMar w:top="1134" w:right="866" w:bottom="1134"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80089DE">
      <w:pPr>
        <w:pStyle w:val="3"/>
        <w:numPr>
          <w:ilvl w:val="0"/>
          <w:numId w:val="0"/>
        </w:numPr>
        <w:bidi w:val="0"/>
        <w:jc w:val="center"/>
        <w:rPr>
          <w:rFonts w:hint="default"/>
          <w:sz w:val="32"/>
          <w:szCs w:val="32"/>
          <w:lang w:val="en-US" w:eastAsia="zh-CN"/>
        </w:rPr>
      </w:pPr>
      <w:bookmarkStart w:id="2" w:name="_Toc25428"/>
      <w:r>
        <w:rPr>
          <w:rFonts w:hint="eastAsia" w:ascii="黑体" w:hAnsi="黑体" w:eastAsia="黑体" w:cs="黑体"/>
          <w:lang w:val="en-US" w:eastAsia="zh-CN"/>
        </w:rPr>
        <w:t xml:space="preserve">第一章  </w:t>
      </w:r>
      <w:r>
        <w:rPr>
          <w:rFonts w:hint="eastAsia" w:ascii="黑体" w:hAnsi="黑体" w:eastAsia="黑体" w:cs="黑体"/>
        </w:rPr>
        <w:t>竞争性磋商</w:t>
      </w:r>
      <w:r>
        <w:rPr>
          <w:rFonts w:hint="eastAsia" w:ascii="黑体" w:hAnsi="黑体" w:eastAsia="黑体" w:cs="黑体"/>
          <w:lang w:eastAsia="zh-CN"/>
        </w:rPr>
        <w:t>公告</w:t>
      </w:r>
      <w:bookmarkEnd w:id="2"/>
    </w:p>
    <w:bookmarkEnd w:id="1"/>
    <w:p w14:paraId="4865A0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黑体" w:hAnsi="黑体" w:eastAsia="黑体" w:cs="黑体"/>
          <w:b/>
          <w:bCs/>
          <w:i w:val="0"/>
          <w:iCs w:val="0"/>
          <w:caps w:val="0"/>
          <w:color w:val="222222"/>
          <w:spacing w:val="0"/>
          <w:sz w:val="24"/>
          <w:szCs w:val="24"/>
        </w:rPr>
      </w:pPr>
      <w:bookmarkStart w:id="3" w:name="_Toc30626"/>
      <w:bookmarkStart w:id="4" w:name="_Toc15230"/>
      <w:r>
        <w:rPr>
          <w:rFonts w:hint="eastAsia" w:ascii="黑体" w:hAnsi="黑体" w:eastAsia="黑体" w:cs="黑体"/>
          <w:b/>
          <w:bCs/>
          <w:i w:val="0"/>
          <w:iCs w:val="0"/>
          <w:caps w:val="0"/>
          <w:color w:val="222222"/>
          <w:spacing w:val="0"/>
          <w:sz w:val="24"/>
          <w:szCs w:val="24"/>
          <w:shd w:val="clear" w:fill="FFFFFF"/>
        </w:rPr>
        <w:t>乌海市检验检测中心BDO产业产品质量检测中心建设仪器采购项目竞争性磋商公告</w:t>
      </w:r>
    </w:p>
    <w:p w14:paraId="4EB037E9">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150" w:afterAutospacing="0" w:line="30" w:lineRule="atLeast"/>
        <w:ind w:left="0" w:right="0"/>
        <w:jc w:val="left"/>
        <w:rPr>
          <w:rFonts w:hint="eastAsia" w:ascii="黑体" w:hAnsi="黑体" w:eastAsia="黑体" w:cs="黑体"/>
          <w:b w:val="0"/>
          <w:bCs w:val="0"/>
          <w:sz w:val="24"/>
          <w:szCs w:val="24"/>
        </w:rPr>
      </w:pPr>
      <w:r>
        <w:rPr>
          <w:rStyle w:val="42"/>
          <w:rFonts w:hint="eastAsia" w:ascii="黑体" w:hAnsi="黑体" w:eastAsia="黑体" w:cs="黑体"/>
          <w:b/>
          <w:bCs/>
          <w:i w:val="0"/>
          <w:iCs w:val="0"/>
          <w:caps w:val="0"/>
          <w:color w:val="000000"/>
          <w:spacing w:val="0"/>
          <w:sz w:val="24"/>
          <w:szCs w:val="24"/>
          <w:shd w:val="clear" w:fill="FFFFFF"/>
        </w:rPr>
        <w:t>项目概况</w:t>
      </w:r>
    </w:p>
    <w:p w14:paraId="79F4ACF8">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15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BDO产业产品质量检测中心建设仪器采购项目采购项目的潜在供应商应在内蒙古元沣工程项目管理有限公司获取采购文件，并于 2025年05月22日 15时30分 （北京时间）前提交响应文件。</w:t>
      </w:r>
    </w:p>
    <w:p w14:paraId="78A6944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一、项目基本情况</w:t>
      </w:r>
    </w:p>
    <w:p w14:paraId="26A0FB82">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项目编号：2025YFHJ004-CG</w:t>
      </w:r>
    </w:p>
    <w:p w14:paraId="45B97A61">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项目名称：BDO产业产品质量检测中心建设仪器采购项目</w:t>
      </w:r>
    </w:p>
    <w:p w14:paraId="0C63C3E2">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采购方式：竞争性磋商</w:t>
      </w:r>
    </w:p>
    <w:p w14:paraId="0F541798">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预算金额：450,000.00元</w:t>
      </w:r>
    </w:p>
    <w:p w14:paraId="5AEDD615">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采购需求：</w:t>
      </w:r>
    </w:p>
    <w:p w14:paraId="29607B09">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合同包1(BDO产业产品质量检测中心建设仪器采购项目 第1包):</w:t>
      </w:r>
    </w:p>
    <w:p w14:paraId="7AE9FD1F">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63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合同包预算金额：450,000.00元</w:t>
      </w:r>
    </w:p>
    <w:p w14:paraId="2D151BD9">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63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合同包最高限价：450,000.00元</w:t>
      </w:r>
    </w:p>
    <w:p w14:paraId="19B79E74">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63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本合同包不接受联合体投标</w:t>
      </w:r>
    </w:p>
    <w:tbl>
      <w:tblPr>
        <w:tblStyle w:val="39"/>
        <w:tblpPr w:leftFromText="180" w:rightFromText="180" w:vertAnchor="text" w:horzAnchor="page" w:tblpX="939" w:tblpY="-2752"/>
        <w:tblOverlap w:val="never"/>
        <w:tblW w:w="1047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0"/>
        <w:gridCol w:w="2216"/>
        <w:gridCol w:w="2216"/>
        <w:gridCol w:w="847"/>
        <w:gridCol w:w="1635"/>
        <w:gridCol w:w="1451"/>
        <w:gridCol w:w="1451"/>
      </w:tblGrid>
      <w:tr w14:paraId="5E9B14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75" w:hRule="atLeast"/>
          <w:tblHeader/>
        </w:trPr>
        <w:tc>
          <w:tcPr>
            <w:tcW w:w="660"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0A79CC03">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品目号</w:t>
            </w:r>
          </w:p>
        </w:tc>
        <w:tc>
          <w:tcPr>
            <w:tcW w:w="2216"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149C5DCB">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品目名称</w:t>
            </w:r>
          </w:p>
        </w:tc>
        <w:tc>
          <w:tcPr>
            <w:tcW w:w="2216"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6B04FC0A">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采购标的</w:t>
            </w:r>
          </w:p>
        </w:tc>
        <w:tc>
          <w:tcPr>
            <w:tcW w:w="847"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49A804F9">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数量（单位）</w:t>
            </w:r>
          </w:p>
        </w:tc>
        <w:tc>
          <w:tcPr>
            <w:tcW w:w="1635"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389C51BF">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技术规格、参数及要求</w:t>
            </w:r>
          </w:p>
        </w:tc>
        <w:tc>
          <w:tcPr>
            <w:tcW w:w="1451"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206A8BB2">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品目预算(元)</w:t>
            </w:r>
          </w:p>
        </w:tc>
        <w:tc>
          <w:tcPr>
            <w:tcW w:w="1451"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4FAD1ACD">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b/>
                <w:bCs/>
                <w:i w:val="0"/>
                <w:iCs w:val="0"/>
                <w:sz w:val="18"/>
                <w:szCs w:val="18"/>
              </w:rPr>
            </w:pPr>
            <w:r>
              <w:rPr>
                <w:rFonts w:hint="eastAsia" w:ascii="黑体" w:hAnsi="黑体" w:eastAsia="黑体" w:cs="黑体"/>
                <w:b/>
                <w:bCs/>
                <w:i w:val="0"/>
                <w:iCs w:val="0"/>
                <w:kern w:val="0"/>
                <w:sz w:val="18"/>
                <w:szCs w:val="18"/>
                <w:lang w:val="en-US" w:eastAsia="zh-CN" w:bidi="ar"/>
              </w:rPr>
              <w:t>最高限价(元)</w:t>
            </w:r>
          </w:p>
        </w:tc>
      </w:tr>
      <w:tr w14:paraId="362F71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45" w:hRule="atLeast"/>
        </w:trPr>
        <w:tc>
          <w:tcPr>
            <w:tcW w:w="660"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23324410">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sz w:val="18"/>
                <w:szCs w:val="18"/>
              </w:rPr>
            </w:pPr>
            <w:r>
              <w:rPr>
                <w:rFonts w:hint="eastAsia" w:ascii="黑体" w:hAnsi="黑体" w:eastAsia="黑体" w:cs="黑体"/>
                <w:kern w:val="0"/>
                <w:sz w:val="18"/>
                <w:szCs w:val="18"/>
                <w:lang w:val="en-US" w:eastAsia="zh-CN" w:bidi="ar"/>
              </w:rPr>
              <w:t>1-1</w:t>
            </w:r>
          </w:p>
        </w:tc>
        <w:tc>
          <w:tcPr>
            <w:tcW w:w="2216"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3EB6E52B">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sz w:val="18"/>
                <w:szCs w:val="18"/>
              </w:rPr>
            </w:pPr>
            <w:r>
              <w:rPr>
                <w:rFonts w:hint="eastAsia" w:ascii="黑体" w:hAnsi="黑体" w:eastAsia="黑体" w:cs="黑体"/>
                <w:kern w:val="0"/>
                <w:sz w:val="18"/>
                <w:szCs w:val="18"/>
                <w:lang w:val="en-US" w:eastAsia="zh-CN" w:bidi="ar"/>
              </w:rPr>
              <w:t>其他试验仪器及装置</w:t>
            </w:r>
          </w:p>
        </w:tc>
        <w:tc>
          <w:tcPr>
            <w:tcW w:w="2216"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1C4C85F0">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sz w:val="18"/>
                <w:szCs w:val="18"/>
              </w:rPr>
            </w:pPr>
            <w:r>
              <w:rPr>
                <w:rFonts w:hint="eastAsia" w:ascii="黑体" w:hAnsi="黑体" w:eastAsia="黑体" w:cs="黑体"/>
                <w:kern w:val="0"/>
                <w:sz w:val="18"/>
                <w:szCs w:val="18"/>
                <w:lang w:val="en-US" w:eastAsia="zh-CN" w:bidi="ar"/>
              </w:rPr>
              <w:t>其他试验仪器及装置</w:t>
            </w:r>
          </w:p>
        </w:tc>
        <w:tc>
          <w:tcPr>
            <w:tcW w:w="847"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5D5AD2E2">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sz w:val="18"/>
                <w:szCs w:val="18"/>
              </w:rPr>
            </w:pPr>
            <w:r>
              <w:rPr>
                <w:rFonts w:hint="eastAsia" w:ascii="黑体" w:hAnsi="黑体" w:eastAsia="黑体" w:cs="黑体"/>
                <w:kern w:val="0"/>
                <w:sz w:val="18"/>
                <w:szCs w:val="18"/>
                <w:lang w:val="en-US" w:eastAsia="zh-CN" w:bidi="ar"/>
              </w:rPr>
              <w:t>1(项)</w:t>
            </w:r>
          </w:p>
        </w:tc>
        <w:tc>
          <w:tcPr>
            <w:tcW w:w="1635"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3EF9A29F">
            <w:pPr>
              <w:keepNext w:val="0"/>
              <w:keepLines w:val="0"/>
              <w:widowControl/>
              <w:suppressLineNumbers w:val="0"/>
              <w:wordWrap w:val="0"/>
              <w:spacing w:before="0" w:beforeAutospacing="0" w:after="0" w:afterAutospacing="0" w:line="360" w:lineRule="atLeast"/>
              <w:ind w:left="0" w:right="0"/>
              <w:jc w:val="center"/>
              <w:rPr>
                <w:rFonts w:hint="eastAsia" w:ascii="黑体" w:hAnsi="黑体" w:eastAsia="黑体" w:cs="黑体"/>
                <w:sz w:val="18"/>
                <w:szCs w:val="18"/>
              </w:rPr>
            </w:pPr>
            <w:r>
              <w:rPr>
                <w:rFonts w:hint="eastAsia" w:ascii="黑体" w:hAnsi="黑体" w:eastAsia="黑体" w:cs="黑体"/>
                <w:kern w:val="0"/>
                <w:sz w:val="18"/>
                <w:szCs w:val="18"/>
                <w:lang w:val="en-US" w:eastAsia="zh-CN" w:bidi="ar"/>
              </w:rPr>
              <w:t>详见采购文件</w:t>
            </w:r>
          </w:p>
        </w:tc>
        <w:tc>
          <w:tcPr>
            <w:tcW w:w="1451"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7A5E7612">
            <w:pPr>
              <w:keepNext w:val="0"/>
              <w:keepLines w:val="0"/>
              <w:widowControl/>
              <w:suppressLineNumbers w:val="0"/>
              <w:wordWrap/>
              <w:spacing w:before="0" w:beforeAutospacing="0" w:after="0" w:afterAutospacing="0" w:line="360" w:lineRule="atLeast"/>
              <w:ind w:left="0" w:right="0"/>
              <w:jc w:val="right"/>
              <w:rPr>
                <w:rFonts w:hint="eastAsia" w:ascii="黑体" w:hAnsi="黑体" w:eastAsia="黑体" w:cs="黑体"/>
                <w:sz w:val="18"/>
                <w:szCs w:val="18"/>
              </w:rPr>
            </w:pPr>
            <w:r>
              <w:rPr>
                <w:rFonts w:hint="eastAsia" w:ascii="黑体" w:hAnsi="黑体" w:eastAsia="黑体" w:cs="黑体"/>
                <w:kern w:val="0"/>
                <w:sz w:val="18"/>
                <w:szCs w:val="18"/>
                <w:lang w:val="en-US" w:eastAsia="zh-CN" w:bidi="ar"/>
              </w:rPr>
              <w:t>450,000.00</w:t>
            </w:r>
          </w:p>
        </w:tc>
        <w:tc>
          <w:tcPr>
            <w:tcW w:w="1451" w:type="dxa"/>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14:paraId="38BC270B">
            <w:pPr>
              <w:keepNext w:val="0"/>
              <w:keepLines w:val="0"/>
              <w:widowControl/>
              <w:suppressLineNumbers w:val="0"/>
              <w:wordWrap/>
              <w:spacing w:before="0" w:beforeAutospacing="0" w:after="0" w:afterAutospacing="0" w:line="360" w:lineRule="atLeast"/>
              <w:ind w:left="0" w:right="0"/>
              <w:jc w:val="right"/>
              <w:rPr>
                <w:rFonts w:hint="eastAsia" w:ascii="黑体" w:hAnsi="黑体" w:eastAsia="黑体" w:cs="黑体"/>
                <w:sz w:val="18"/>
                <w:szCs w:val="18"/>
              </w:rPr>
            </w:pPr>
            <w:r>
              <w:rPr>
                <w:rFonts w:hint="eastAsia" w:ascii="黑体" w:hAnsi="黑体" w:eastAsia="黑体" w:cs="黑体"/>
                <w:kern w:val="0"/>
                <w:sz w:val="18"/>
                <w:szCs w:val="18"/>
                <w:lang w:val="en-US" w:eastAsia="zh-CN" w:bidi="ar"/>
              </w:rPr>
              <w:t>450,000.00</w:t>
            </w:r>
          </w:p>
        </w:tc>
      </w:tr>
    </w:tbl>
    <w:p w14:paraId="15B7540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二、申请人的资格要求：</w:t>
      </w:r>
    </w:p>
    <w:p w14:paraId="31553517">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1.满足《中华人民共和国政府采购法》第二十二条规定;</w:t>
      </w:r>
    </w:p>
    <w:p w14:paraId="7FE13BE2">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2.落实政府采购政策需满足的资格要求：本项目专门面向中小企业采购</w:t>
      </w:r>
    </w:p>
    <w:p w14:paraId="672339BC">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3.本项目的特定资格要求：</w:t>
      </w:r>
    </w:p>
    <w:p w14:paraId="7A0B8480">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合同包1(BDO产业产品质量检测中心建设仪器采购项目 第1包)特定资格要求如下:</w:t>
      </w:r>
    </w:p>
    <w:p w14:paraId="4FFD1E61">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480" w:right="0" w:firstLine="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1、供应商具有中华人民共和国独立法人资格且为中小微企业，持有有效的营业执照或事业单位法人证书，具有独立承担民事责任的能力。</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2、具有履行合同所必需的设备和专业技术能力。</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3、供应商具有良好的商业信誉和健全的财务会计制度。</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4、供应商具有依法缴纳税收和社会保障资金的良好记录。</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5、供应商参加政府采购活动前三年内，在经营活动中没有重大违法记录。</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6、不存在法律、行政法规规定的其他条件。</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7、落实诚信信息使用机制，依据中共中央办公厅、国务院办公厅印发《关于加快推进失信被执行人信用监督、警示和惩戒机制建设的意见》，供应商未被“信用中国”列入失信被执行人名单；在“国家企业信用信息公示系统”中未被列入严重违法失信名单；在“中国政府采购网”中未被列入政府采购严重违法失信行为记录名单。</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8、本次招标不接受联合体投标。</w:t>
      </w:r>
    </w:p>
    <w:p w14:paraId="1AE1569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三、获取采购文件</w:t>
      </w:r>
    </w:p>
    <w:p w14:paraId="232437CE">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时间： 2025年05月12日 至 2025年05月16日 ，每天上午 08:30:00 至 12:00:00 ，下午 15:00:00 至 18:00:00 （北京时间,法定节假日除外）</w:t>
      </w:r>
    </w:p>
    <w:p w14:paraId="67C93E4B">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地点：内蒙古元沣工程项目管理有限公司</w:t>
      </w:r>
    </w:p>
    <w:p w14:paraId="327209B2">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方式：现场获取</w:t>
      </w:r>
    </w:p>
    <w:p w14:paraId="52FE42C8">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售价：0</w:t>
      </w:r>
    </w:p>
    <w:p w14:paraId="5959124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四、响应文件提交</w:t>
      </w:r>
    </w:p>
    <w:p w14:paraId="1B9063AA">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截止时间： 2025年05月22日 15时30分00秒 （北京时间）</w:t>
      </w:r>
    </w:p>
    <w:p w14:paraId="60F98F7A">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地点：内蒙古元沣工程项目管理有限公司开标室</w:t>
      </w:r>
    </w:p>
    <w:p w14:paraId="6FC9825E">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五、开启</w:t>
      </w:r>
    </w:p>
    <w:p w14:paraId="29564939">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时间： 2025年05月22日 15时30分00秒 （北京时间）</w:t>
      </w:r>
    </w:p>
    <w:p w14:paraId="30C97CBE">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地点：内蒙古元沣工程项目管理有限公司开标室</w:t>
      </w:r>
    </w:p>
    <w:p w14:paraId="10445CD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六、公告期限</w:t>
      </w:r>
    </w:p>
    <w:p w14:paraId="4EE6DC25">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自本公告发布之日起5个工作日。</w:t>
      </w:r>
    </w:p>
    <w:p w14:paraId="5E9EA1E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七、其他补充事宜</w:t>
      </w:r>
    </w:p>
    <w:p w14:paraId="1B689182">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480" w:right="0" w:firstLine="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供应商须携带以下资料并加盖公章到采购代理机构获取竞争性磋商文件：</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1.企业法人营业执照副本复印件或或事业单位法人证书副本复印件；</w:t>
      </w:r>
      <w:r>
        <w:rPr>
          <w:rFonts w:hint="eastAsia" w:ascii="黑体" w:hAnsi="黑体" w:eastAsia="黑体" w:cs="黑体"/>
          <w:i w:val="0"/>
          <w:iCs w:val="0"/>
          <w:caps w:val="0"/>
          <w:color w:val="000000"/>
          <w:spacing w:val="0"/>
          <w:sz w:val="24"/>
          <w:szCs w:val="24"/>
          <w:shd w:val="clear" w:fill="FFFFFF"/>
        </w:rPr>
        <w:br w:type="textWrapping"/>
      </w:r>
      <w:r>
        <w:rPr>
          <w:rFonts w:hint="eastAsia" w:ascii="黑体" w:hAnsi="黑体" w:eastAsia="黑体" w:cs="黑体"/>
          <w:i w:val="0"/>
          <w:iCs w:val="0"/>
          <w:caps w:val="0"/>
          <w:color w:val="000000"/>
          <w:spacing w:val="0"/>
          <w:sz w:val="24"/>
          <w:szCs w:val="24"/>
          <w:shd w:val="clear" w:fill="FFFFFF"/>
        </w:rPr>
        <w:t>2.法定代表人前来报名提供法定代表人身份证明，非法定代表人来报名应提供授权委托书（被授权人需提供身份证、劳动合同、社保证明）。</w:t>
      </w:r>
    </w:p>
    <w:p w14:paraId="3BF9EDB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0" w:afterAutospacing="0" w:line="360" w:lineRule="auto"/>
        <w:ind w:left="0" w:right="0"/>
        <w:jc w:val="left"/>
        <w:rPr>
          <w:rFonts w:hint="eastAsia" w:ascii="黑体" w:hAnsi="黑体" w:eastAsia="黑体" w:cs="黑体"/>
          <w:sz w:val="24"/>
          <w:szCs w:val="24"/>
        </w:rPr>
      </w:pPr>
      <w:r>
        <w:rPr>
          <w:rStyle w:val="42"/>
          <w:rFonts w:hint="eastAsia" w:ascii="黑体" w:hAnsi="黑体" w:eastAsia="黑体" w:cs="黑体"/>
          <w:b/>
          <w:bCs/>
          <w:i w:val="0"/>
          <w:iCs w:val="0"/>
          <w:caps w:val="0"/>
          <w:color w:val="000000"/>
          <w:spacing w:val="0"/>
          <w:sz w:val="24"/>
          <w:szCs w:val="24"/>
          <w:shd w:val="clear" w:fill="FFFFFF"/>
        </w:rPr>
        <w:t>八、凡对本次采购提出询问，请按以下方式联系。</w:t>
      </w:r>
    </w:p>
    <w:p w14:paraId="72A8EA2C">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0" w:lineRule="atLeast"/>
        <w:ind w:left="0" w:right="0"/>
        <w:jc w:val="left"/>
        <w:rPr>
          <w:rFonts w:hint="eastAsia" w:ascii="黑体" w:hAnsi="黑体" w:eastAsia="黑体" w:cs="黑体"/>
          <w:b w:val="0"/>
          <w:bCs w:val="0"/>
          <w:sz w:val="24"/>
          <w:szCs w:val="24"/>
        </w:rPr>
      </w:pPr>
      <w:r>
        <w:rPr>
          <w:rFonts w:hint="eastAsia" w:ascii="黑体" w:hAnsi="黑体" w:eastAsia="黑体" w:cs="黑体"/>
          <w:b w:val="0"/>
          <w:bCs w:val="0"/>
          <w:i w:val="0"/>
          <w:iCs w:val="0"/>
          <w:caps w:val="0"/>
          <w:color w:val="000000"/>
          <w:spacing w:val="0"/>
          <w:sz w:val="24"/>
          <w:szCs w:val="24"/>
          <w:shd w:val="clear" w:fill="FFFFFF"/>
        </w:rPr>
        <w:t>1.采购人信息</w:t>
      </w:r>
    </w:p>
    <w:p w14:paraId="265E703B">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名  称：乌海市检验检测中心</w:t>
      </w:r>
    </w:p>
    <w:p w14:paraId="02A58607">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地  址：乌海市滨河区创业路13号</w:t>
      </w:r>
    </w:p>
    <w:p w14:paraId="6431F7D7">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联系方式：13191356289</w:t>
      </w:r>
    </w:p>
    <w:p w14:paraId="5F96CBB8">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0" w:lineRule="atLeast"/>
        <w:ind w:left="0" w:right="0"/>
        <w:jc w:val="left"/>
        <w:rPr>
          <w:rFonts w:hint="eastAsia" w:ascii="黑体" w:hAnsi="黑体" w:eastAsia="黑体" w:cs="黑体"/>
          <w:b w:val="0"/>
          <w:bCs w:val="0"/>
          <w:sz w:val="24"/>
          <w:szCs w:val="24"/>
        </w:rPr>
      </w:pPr>
      <w:r>
        <w:rPr>
          <w:rFonts w:hint="eastAsia" w:ascii="黑体" w:hAnsi="黑体" w:eastAsia="黑体" w:cs="黑体"/>
          <w:b w:val="0"/>
          <w:bCs w:val="0"/>
          <w:i w:val="0"/>
          <w:iCs w:val="0"/>
          <w:caps w:val="0"/>
          <w:color w:val="000000"/>
          <w:spacing w:val="0"/>
          <w:sz w:val="24"/>
          <w:szCs w:val="24"/>
          <w:shd w:val="clear" w:fill="FFFFFF"/>
        </w:rPr>
        <w:t>2.采购代理机构信息</w:t>
      </w:r>
    </w:p>
    <w:p w14:paraId="7420A69A">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名  称：内蒙古元沣工程项目管理有限公司</w:t>
      </w:r>
    </w:p>
    <w:p w14:paraId="2EF1CC86">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地  址：乌海市海勃湾区蒙西大厦10层</w:t>
      </w:r>
    </w:p>
    <w:p w14:paraId="59C3F2A2">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联系方式：13734732598</w:t>
      </w:r>
    </w:p>
    <w:p w14:paraId="318B6F19">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30" w:lineRule="atLeast"/>
        <w:ind w:left="0" w:right="0"/>
        <w:jc w:val="left"/>
        <w:rPr>
          <w:rFonts w:hint="eastAsia" w:ascii="黑体" w:hAnsi="黑体" w:eastAsia="黑体" w:cs="黑体"/>
          <w:b w:val="0"/>
          <w:bCs w:val="0"/>
          <w:sz w:val="24"/>
          <w:szCs w:val="24"/>
        </w:rPr>
      </w:pPr>
      <w:r>
        <w:rPr>
          <w:rFonts w:hint="eastAsia" w:ascii="黑体" w:hAnsi="黑体" w:eastAsia="黑体" w:cs="黑体"/>
          <w:b w:val="0"/>
          <w:bCs w:val="0"/>
          <w:i w:val="0"/>
          <w:iCs w:val="0"/>
          <w:caps w:val="0"/>
          <w:color w:val="000000"/>
          <w:spacing w:val="0"/>
          <w:sz w:val="24"/>
          <w:szCs w:val="24"/>
          <w:shd w:val="clear" w:fill="FFFFFF"/>
        </w:rPr>
        <w:t>3.项目联系方式</w:t>
      </w:r>
    </w:p>
    <w:p w14:paraId="673FBC13">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项目联系人：王工</w:t>
      </w:r>
    </w:p>
    <w:p w14:paraId="0E688811">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both"/>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电  话：0473-2031888</w:t>
      </w:r>
    </w:p>
    <w:p w14:paraId="060A576D">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right"/>
        <w:rPr>
          <w:rFonts w:hint="eastAsia" w:ascii="黑体" w:hAnsi="黑体" w:eastAsia="黑体" w:cs="黑体"/>
          <w:sz w:val="24"/>
          <w:szCs w:val="24"/>
        </w:rPr>
      </w:pPr>
      <w:r>
        <w:rPr>
          <w:rFonts w:hint="eastAsia" w:ascii="黑体" w:hAnsi="黑体" w:eastAsia="黑体" w:cs="黑体"/>
          <w:i w:val="0"/>
          <w:iCs w:val="0"/>
          <w:caps w:val="0"/>
          <w:color w:val="000000"/>
          <w:spacing w:val="0"/>
          <w:sz w:val="24"/>
          <w:szCs w:val="24"/>
          <w:shd w:val="clear" w:fill="FFFFFF"/>
        </w:rPr>
        <w:t>乌海市检验检测中心</w:t>
      </w:r>
    </w:p>
    <w:p w14:paraId="4317E109">
      <w:pPr>
        <w:pStyle w:val="3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0" w:afterAutospacing="0" w:line="480" w:lineRule="atLeast"/>
        <w:ind w:left="0" w:right="0" w:firstLine="480"/>
        <w:jc w:val="right"/>
        <w:rPr>
          <w:rFonts w:hint="eastAsia" w:ascii="黑体" w:hAnsi="黑体" w:eastAsia="黑体" w:cs="黑体"/>
          <w:sz w:val="21"/>
          <w:szCs w:val="21"/>
        </w:rPr>
      </w:pPr>
      <w:r>
        <w:rPr>
          <w:rFonts w:hint="eastAsia" w:ascii="黑体" w:hAnsi="黑体" w:eastAsia="黑体" w:cs="黑体"/>
          <w:i w:val="0"/>
          <w:iCs w:val="0"/>
          <w:caps w:val="0"/>
          <w:color w:val="000000"/>
          <w:spacing w:val="0"/>
          <w:sz w:val="24"/>
          <w:szCs w:val="24"/>
          <w:shd w:val="clear" w:fill="FFFFFF"/>
        </w:rPr>
        <w:t>2025年05月11日</w:t>
      </w:r>
    </w:p>
    <w:p w14:paraId="4FFE8BC5">
      <w:pPr>
        <w:pStyle w:val="3"/>
        <w:bidi w:val="0"/>
        <w:rPr>
          <w:rFonts w:hint="eastAsia" w:ascii="黑体" w:hAnsi="黑体" w:eastAsia="黑体" w:cs="黑体"/>
        </w:rPr>
      </w:pPr>
      <w:r>
        <w:rPr>
          <w:rFonts w:hint="eastAsia" w:ascii="黑体" w:hAnsi="黑体" w:eastAsia="黑体" w:cs="黑体"/>
        </w:rPr>
        <w:t>第</w:t>
      </w:r>
      <w:r>
        <w:rPr>
          <w:rFonts w:hint="eastAsia" w:ascii="黑体" w:hAnsi="黑体" w:eastAsia="黑体" w:cs="黑体"/>
          <w:lang w:val="en-US" w:eastAsia="zh-CN"/>
        </w:rPr>
        <w:t>二</w:t>
      </w:r>
      <w:r>
        <w:rPr>
          <w:rFonts w:hint="eastAsia" w:ascii="黑体" w:hAnsi="黑体" w:eastAsia="黑体" w:cs="黑体"/>
        </w:rPr>
        <w:t>章  供应商须知</w:t>
      </w:r>
      <w:bookmarkEnd w:id="3"/>
    </w:p>
    <w:p w14:paraId="6514053E">
      <w:pPr>
        <w:spacing w:before="156" w:beforeLines="50" w:after="100" w:afterAutospacing="1"/>
        <w:ind w:firstLine="240" w:firstLineChars="100"/>
        <w:jc w:val="center"/>
        <w:outlineLvl w:val="1"/>
        <w:rPr>
          <w:rFonts w:hint="eastAsia" w:ascii="黑体" w:hAnsi="黑体" w:eastAsia="黑体" w:cs="黑体"/>
          <w:sz w:val="24"/>
          <w:szCs w:val="24"/>
        </w:rPr>
      </w:pPr>
      <w:bookmarkStart w:id="5" w:name="_Toc8281"/>
      <w:bookmarkStart w:id="6" w:name="_Toc27296"/>
      <w:bookmarkStart w:id="7" w:name="_Toc421834141"/>
      <w:bookmarkStart w:id="8" w:name="_Toc1798"/>
      <w:r>
        <w:rPr>
          <w:rFonts w:hint="eastAsia" w:ascii="黑体" w:hAnsi="黑体" w:eastAsia="黑体" w:cs="黑体"/>
          <w:sz w:val="24"/>
          <w:szCs w:val="24"/>
        </w:rPr>
        <w:t>供应商须知前附表</w:t>
      </w:r>
      <w:bookmarkEnd w:id="5"/>
      <w:bookmarkEnd w:id="6"/>
      <w:bookmarkEnd w:id="7"/>
      <w:bookmarkEnd w:id="8"/>
    </w:p>
    <w:p w14:paraId="2F365ABA">
      <w:pPr>
        <w:numPr>
          <w:ilvl w:val="0"/>
          <w:numId w:val="0"/>
        </w:numPr>
        <w:rPr>
          <w:rFonts w:hint="eastAsia"/>
        </w:rPr>
      </w:pPr>
    </w:p>
    <w:tbl>
      <w:tblPr>
        <w:tblStyle w:val="39"/>
        <w:tblW w:w="8539" w:type="dxa"/>
        <w:tblInd w:w="0" w:type="dxa"/>
        <w:tblLayout w:type="fixed"/>
        <w:tblCellMar>
          <w:top w:w="0" w:type="dxa"/>
          <w:left w:w="108" w:type="dxa"/>
          <w:bottom w:w="0" w:type="dxa"/>
          <w:right w:w="108" w:type="dxa"/>
        </w:tblCellMar>
      </w:tblPr>
      <w:tblGrid>
        <w:gridCol w:w="918"/>
        <w:gridCol w:w="2128"/>
        <w:gridCol w:w="5493"/>
      </w:tblGrid>
      <w:tr w14:paraId="60028935">
        <w:tblPrEx>
          <w:tblCellMar>
            <w:top w:w="0" w:type="dxa"/>
            <w:left w:w="108" w:type="dxa"/>
            <w:bottom w:w="0" w:type="dxa"/>
            <w:right w:w="108" w:type="dxa"/>
          </w:tblCellMar>
        </w:tblPrEx>
        <w:trPr>
          <w:trHeight w:val="472" w:hRule="atLeast"/>
          <w:tblHeader/>
        </w:trPr>
        <w:tc>
          <w:tcPr>
            <w:tcW w:w="918" w:type="dxa"/>
            <w:tcBorders>
              <w:top w:val="single" w:color="auto" w:sz="4" w:space="0"/>
              <w:left w:val="single" w:color="auto" w:sz="4" w:space="0"/>
              <w:bottom w:val="single" w:color="auto" w:sz="4" w:space="0"/>
              <w:right w:val="single" w:color="auto" w:sz="4" w:space="0"/>
            </w:tcBorders>
            <w:vAlign w:val="center"/>
          </w:tcPr>
          <w:p w14:paraId="115F49D4">
            <w:pPr>
              <w:spacing w:line="440" w:lineRule="exact"/>
              <w:jc w:val="center"/>
              <w:rPr>
                <w:rFonts w:hint="eastAsia" w:ascii="黑体" w:hAnsi="黑体" w:eastAsia="黑体" w:cs="黑体"/>
                <w:b/>
                <w:color w:val="000000"/>
                <w:sz w:val="21"/>
                <w:szCs w:val="21"/>
                <w:highlight w:val="none"/>
              </w:rPr>
            </w:pPr>
            <w:r>
              <w:rPr>
                <w:rFonts w:hint="eastAsia" w:ascii="黑体" w:hAnsi="黑体" w:eastAsia="黑体" w:cs="黑体"/>
                <w:b/>
                <w:color w:val="000000"/>
                <w:sz w:val="21"/>
                <w:szCs w:val="21"/>
                <w:highlight w:val="none"/>
              </w:rPr>
              <w:t>条款号</w:t>
            </w:r>
          </w:p>
        </w:tc>
        <w:tc>
          <w:tcPr>
            <w:tcW w:w="2128" w:type="dxa"/>
            <w:tcBorders>
              <w:top w:val="single" w:color="auto" w:sz="4" w:space="0"/>
              <w:left w:val="single" w:color="auto" w:sz="4" w:space="0"/>
              <w:bottom w:val="single" w:color="auto" w:sz="4" w:space="0"/>
              <w:right w:val="single" w:color="auto" w:sz="4" w:space="0"/>
            </w:tcBorders>
            <w:vAlign w:val="center"/>
          </w:tcPr>
          <w:p w14:paraId="61AEA7C9">
            <w:pPr>
              <w:spacing w:line="440" w:lineRule="exact"/>
              <w:jc w:val="center"/>
              <w:rPr>
                <w:rFonts w:hint="eastAsia" w:ascii="黑体" w:hAnsi="黑体" w:eastAsia="黑体" w:cs="黑体"/>
                <w:b/>
                <w:color w:val="000000"/>
                <w:sz w:val="21"/>
                <w:szCs w:val="21"/>
                <w:highlight w:val="none"/>
              </w:rPr>
            </w:pPr>
            <w:r>
              <w:rPr>
                <w:rFonts w:hint="eastAsia" w:ascii="黑体" w:hAnsi="黑体" w:eastAsia="黑体" w:cs="黑体"/>
                <w:b/>
                <w:color w:val="000000"/>
                <w:sz w:val="21"/>
                <w:szCs w:val="21"/>
                <w:highlight w:val="none"/>
              </w:rPr>
              <w:t>条款名称</w:t>
            </w:r>
          </w:p>
        </w:tc>
        <w:tc>
          <w:tcPr>
            <w:tcW w:w="5493" w:type="dxa"/>
            <w:tcBorders>
              <w:top w:val="single" w:color="auto" w:sz="4" w:space="0"/>
              <w:left w:val="single" w:color="auto" w:sz="4" w:space="0"/>
              <w:bottom w:val="single" w:color="auto" w:sz="4" w:space="0"/>
              <w:right w:val="single" w:color="auto" w:sz="4" w:space="0"/>
            </w:tcBorders>
            <w:vAlign w:val="center"/>
          </w:tcPr>
          <w:p w14:paraId="6E821AA4">
            <w:pPr>
              <w:spacing w:line="440" w:lineRule="exact"/>
              <w:jc w:val="center"/>
              <w:rPr>
                <w:rFonts w:hint="eastAsia" w:ascii="黑体" w:hAnsi="黑体" w:eastAsia="黑体" w:cs="黑体"/>
                <w:b/>
                <w:color w:val="000000"/>
                <w:sz w:val="21"/>
                <w:szCs w:val="21"/>
                <w:highlight w:val="none"/>
              </w:rPr>
            </w:pPr>
            <w:r>
              <w:rPr>
                <w:rFonts w:hint="eastAsia" w:ascii="黑体" w:hAnsi="黑体" w:eastAsia="黑体" w:cs="黑体"/>
                <w:b/>
                <w:color w:val="000000"/>
                <w:sz w:val="21"/>
                <w:szCs w:val="21"/>
                <w:highlight w:val="none"/>
              </w:rPr>
              <w:t>编列内容</w:t>
            </w:r>
          </w:p>
        </w:tc>
      </w:tr>
      <w:tr w14:paraId="7CBDC25B">
        <w:tblPrEx>
          <w:tblCellMar>
            <w:top w:w="0" w:type="dxa"/>
            <w:left w:w="108" w:type="dxa"/>
            <w:bottom w:w="0" w:type="dxa"/>
            <w:right w:w="108" w:type="dxa"/>
          </w:tblCellMar>
        </w:tblPrEx>
        <w:trPr>
          <w:trHeight w:val="1832" w:hRule="atLeast"/>
        </w:trPr>
        <w:tc>
          <w:tcPr>
            <w:tcW w:w="918" w:type="dxa"/>
            <w:tcBorders>
              <w:top w:val="single" w:color="auto" w:sz="4" w:space="0"/>
              <w:left w:val="single" w:color="auto" w:sz="4" w:space="0"/>
              <w:bottom w:val="single" w:color="auto" w:sz="4" w:space="0"/>
              <w:right w:val="single" w:color="auto" w:sz="4" w:space="0"/>
            </w:tcBorders>
            <w:vAlign w:val="center"/>
          </w:tcPr>
          <w:p w14:paraId="7CC5C09C">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1.1.2</w:t>
            </w:r>
          </w:p>
        </w:tc>
        <w:tc>
          <w:tcPr>
            <w:tcW w:w="2128" w:type="dxa"/>
            <w:tcBorders>
              <w:top w:val="single" w:color="auto" w:sz="4" w:space="0"/>
              <w:left w:val="single" w:color="auto" w:sz="4" w:space="0"/>
              <w:bottom w:val="single" w:color="auto" w:sz="4" w:space="0"/>
              <w:right w:val="single" w:color="auto" w:sz="4" w:space="0"/>
            </w:tcBorders>
            <w:vAlign w:val="center"/>
          </w:tcPr>
          <w:p w14:paraId="72672726">
            <w:pPr>
              <w:spacing w:line="440" w:lineRule="exact"/>
              <w:jc w:val="center"/>
              <w:rPr>
                <w:rFonts w:hint="eastAsia" w:ascii="黑体" w:hAnsi="黑体" w:eastAsia="黑体" w:cs="黑体"/>
                <w:color w:val="000000"/>
                <w:sz w:val="21"/>
                <w:szCs w:val="21"/>
                <w:highlight w:val="none"/>
                <w:lang w:eastAsia="zh-CN"/>
              </w:rPr>
            </w:pPr>
            <w:r>
              <w:rPr>
                <w:rFonts w:hint="eastAsia" w:ascii="黑体" w:hAnsi="黑体" w:eastAsia="黑体" w:cs="黑体"/>
                <w:color w:val="000000"/>
                <w:sz w:val="21"/>
                <w:szCs w:val="21"/>
                <w:highlight w:val="none"/>
                <w:lang w:eastAsia="zh-CN"/>
              </w:rPr>
              <w:t>采购人</w:t>
            </w:r>
          </w:p>
        </w:tc>
        <w:tc>
          <w:tcPr>
            <w:tcW w:w="5493" w:type="dxa"/>
            <w:tcBorders>
              <w:top w:val="single" w:color="auto" w:sz="4" w:space="0"/>
              <w:left w:val="single" w:color="auto" w:sz="4" w:space="0"/>
              <w:bottom w:val="single" w:color="auto" w:sz="4" w:space="0"/>
              <w:right w:val="single" w:color="auto" w:sz="4" w:space="0"/>
            </w:tcBorders>
            <w:vAlign w:val="center"/>
          </w:tcPr>
          <w:p w14:paraId="144AAAB6">
            <w:pPr>
              <w:spacing w:line="440" w:lineRule="exact"/>
              <w:jc w:val="left"/>
              <w:rPr>
                <w:rFonts w:hint="default" w:ascii="黑体" w:hAnsi="黑体" w:eastAsia="黑体" w:cs="黑体"/>
                <w:color w:val="000000"/>
                <w:sz w:val="21"/>
                <w:szCs w:val="21"/>
                <w:highlight w:val="none"/>
                <w:lang w:val="en-US" w:eastAsia="zh-CN"/>
              </w:rPr>
            </w:pPr>
            <w:r>
              <w:rPr>
                <w:rFonts w:hint="default" w:ascii="黑体" w:hAnsi="黑体" w:eastAsia="黑体" w:cs="黑体"/>
                <w:color w:val="000000"/>
                <w:sz w:val="21"/>
                <w:szCs w:val="21"/>
                <w:highlight w:val="none"/>
                <w:lang w:val="en-US" w:eastAsia="zh-CN"/>
              </w:rPr>
              <w:t xml:space="preserve">名   </w:t>
            </w:r>
            <w:r>
              <w:rPr>
                <w:rFonts w:hint="eastAsia" w:ascii="黑体" w:hAnsi="黑体" w:eastAsia="黑体" w:cs="黑体"/>
                <w:color w:val="000000"/>
                <w:sz w:val="21"/>
                <w:szCs w:val="21"/>
                <w:highlight w:val="none"/>
                <w:lang w:val="en-US" w:eastAsia="zh-CN"/>
              </w:rPr>
              <w:t xml:space="preserve"> </w:t>
            </w:r>
            <w:r>
              <w:rPr>
                <w:rFonts w:hint="default" w:ascii="黑体" w:hAnsi="黑体" w:eastAsia="黑体" w:cs="黑体"/>
                <w:color w:val="000000"/>
                <w:sz w:val="21"/>
                <w:szCs w:val="21"/>
                <w:highlight w:val="none"/>
                <w:lang w:val="en-US" w:eastAsia="zh-CN"/>
              </w:rPr>
              <w:t xml:space="preserve">称： </w:t>
            </w:r>
            <w:r>
              <w:rPr>
                <w:rFonts w:hint="eastAsia" w:ascii="黑体" w:hAnsi="黑体" w:eastAsia="黑体" w:cs="黑体"/>
                <w:color w:val="000000"/>
                <w:sz w:val="21"/>
                <w:szCs w:val="21"/>
                <w:highlight w:val="none"/>
                <w:lang w:val="en-US" w:eastAsia="zh-CN"/>
              </w:rPr>
              <w:t xml:space="preserve">乌海市检验检测中心 </w:t>
            </w:r>
          </w:p>
          <w:p w14:paraId="6E37417C">
            <w:pPr>
              <w:spacing w:line="440" w:lineRule="exact"/>
              <w:jc w:val="left"/>
              <w:rPr>
                <w:rFonts w:hint="default" w:ascii="黑体" w:hAnsi="黑体" w:eastAsia="黑体" w:cs="黑体"/>
                <w:color w:val="000000"/>
                <w:sz w:val="21"/>
                <w:szCs w:val="21"/>
                <w:highlight w:val="none"/>
                <w:lang w:val="en-US" w:eastAsia="zh-CN"/>
              </w:rPr>
            </w:pPr>
            <w:r>
              <w:rPr>
                <w:rFonts w:hint="default" w:ascii="黑体" w:hAnsi="黑体" w:eastAsia="黑体" w:cs="黑体"/>
                <w:color w:val="000000"/>
                <w:sz w:val="21"/>
                <w:szCs w:val="21"/>
                <w:highlight w:val="none"/>
                <w:lang w:val="en-US" w:eastAsia="zh-CN"/>
              </w:rPr>
              <w:t xml:space="preserve">地   </w:t>
            </w:r>
            <w:r>
              <w:rPr>
                <w:rFonts w:hint="eastAsia" w:ascii="黑体" w:hAnsi="黑体" w:eastAsia="黑体" w:cs="黑体"/>
                <w:color w:val="000000"/>
                <w:sz w:val="21"/>
                <w:szCs w:val="21"/>
                <w:highlight w:val="none"/>
                <w:lang w:val="en-US" w:eastAsia="zh-CN"/>
              </w:rPr>
              <w:t xml:space="preserve"> </w:t>
            </w:r>
            <w:r>
              <w:rPr>
                <w:rFonts w:hint="default" w:ascii="黑体" w:hAnsi="黑体" w:eastAsia="黑体" w:cs="黑体"/>
                <w:color w:val="000000"/>
                <w:sz w:val="21"/>
                <w:szCs w:val="21"/>
                <w:highlight w:val="none"/>
                <w:lang w:val="en-US" w:eastAsia="zh-CN"/>
              </w:rPr>
              <w:t>址：</w:t>
            </w:r>
            <w:r>
              <w:rPr>
                <w:rFonts w:hint="eastAsia" w:ascii="黑体" w:hAnsi="黑体" w:eastAsia="黑体" w:cs="黑体"/>
                <w:color w:val="000000"/>
                <w:sz w:val="21"/>
                <w:szCs w:val="21"/>
                <w:highlight w:val="none"/>
                <w:lang w:val="en-US" w:eastAsia="zh-CN"/>
              </w:rPr>
              <w:t xml:space="preserve"> 乌海市海勃湾区</w:t>
            </w:r>
          </w:p>
          <w:p w14:paraId="33CCF37A">
            <w:pPr>
              <w:spacing w:line="440" w:lineRule="exact"/>
              <w:jc w:val="left"/>
              <w:rPr>
                <w:rFonts w:hint="default" w:ascii="黑体" w:hAnsi="黑体" w:eastAsia="黑体" w:cs="黑体"/>
                <w:color w:val="000000"/>
                <w:sz w:val="21"/>
                <w:szCs w:val="21"/>
                <w:highlight w:val="none"/>
                <w:lang w:val="en-US" w:eastAsia="zh-CN"/>
              </w:rPr>
            </w:pPr>
            <w:r>
              <w:rPr>
                <w:rFonts w:hint="default" w:ascii="黑体" w:hAnsi="黑体" w:eastAsia="黑体" w:cs="黑体"/>
                <w:color w:val="000000"/>
                <w:sz w:val="21"/>
                <w:szCs w:val="21"/>
                <w:highlight w:val="none"/>
                <w:lang w:val="en-US" w:eastAsia="zh-CN"/>
              </w:rPr>
              <w:t>联 系 人： 赵</w:t>
            </w:r>
            <w:r>
              <w:rPr>
                <w:rFonts w:hint="eastAsia" w:ascii="黑体" w:hAnsi="黑体" w:eastAsia="黑体" w:cs="黑体"/>
                <w:color w:val="000000"/>
                <w:sz w:val="21"/>
                <w:szCs w:val="21"/>
                <w:highlight w:val="none"/>
                <w:lang w:val="en-US" w:eastAsia="zh-CN"/>
              </w:rPr>
              <w:t>工</w:t>
            </w:r>
            <w:r>
              <w:rPr>
                <w:rFonts w:hint="default" w:ascii="黑体" w:hAnsi="黑体" w:eastAsia="黑体" w:cs="黑体"/>
                <w:color w:val="000000"/>
                <w:sz w:val="21"/>
                <w:szCs w:val="21"/>
                <w:highlight w:val="none"/>
                <w:lang w:val="en-US" w:eastAsia="zh-CN"/>
              </w:rPr>
              <w:t xml:space="preserve">                      </w:t>
            </w:r>
          </w:p>
          <w:p w14:paraId="593DBB2D">
            <w:pPr>
              <w:spacing w:line="440" w:lineRule="exact"/>
              <w:jc w:val="left"/>
              <w:rPr>
                <w:rFonts w:hint="default" w:ascii="黑体" w:hAnsi="黑体" w:eastAsia="黑体" w:cs="黑体"/>
                <w:color w:val="000000"/>
                <w:sz w:val="21"/>
                <w:szCs w:val="21"/>
                <w:highlight w:val="none"/>
                <w:lang w:val="en-US" w:eastAsia="zh-CN"/>
              </w:rPr>
            </w:pPr>
            <w:r>
              <w:rPr>
                <w:rFonts w:hint="default" w:ascii="黑体" w:hAnsi="黑体" w:eastAsia="黑体" w:cs="黑体"/>
                <w:color w:val="000000"/>
                <w:sz w:val="21"/>
                <w:szCs w:val="21"/>
                <w:highlight w:val="none"/>
                <w:lang w:val="en-US" w:eastAsia="zh-CN"/>
              </w:rPr>
              <w:t>联系电话：</w:t>
            </w:r>
            <w:r>
              <w:rPr>
                <w:rFonts w:hint="eastAsia" w:ascii="黑体" w:hAnsi="黑体" w:eastAsia="黑体" w:cs="黑体"/>
                <w:color w:val="000000"/>
                <w:sz w:val="21"/>
                <w:szCs w:val="21"/>
                <w:highlight w:val="none"/>
                <w:lang w:val="en-US" w:eastAsia="zh-CN"/>
              </w:rPr>
              <w:t xml:space="preserve"> 0473-3156919</w:t>
            </w:r>
          </w:p>
        </w:tc>
      </w:tr>
      <w:tr w14:paraId="1D04C695">
        <w:tblPrEx>
          <w:tblCellMar>
            <w:top w:w="0" w:type="dxa"/>
            <w:left w:w="108" w:type="dxa"/>
            <w:bottom w:w="0" w:type="dxa"/>
            <w:right w:w="108" w:type="dxa"/>
          </w:tblCellMar>
        </w:tblPrEx>
        <w:trPr>
          <w:trHeight w:val="1832" w:hRule="atLeast"/>
        </w:trPr>
        <w:tc>
          <w:tcPr>
            <w:tcW w:w="918" w:type="dxa"/>
            <w:tcBorders>
              <w:top w:val="single" w:color="auto" w:sz="4" w:space="0"/>
              <w:left w:val="single" w:color="auto" w:sz="4" w:space="0"/>
              <w:bottom w:val="single" w:color="auto" w:sz="4" w:space="0"/>
              <w:right w:val="single" w:color="auto" w:sz="4" w:space="0"/>
            </w:tcBorders>
            <w:vAlign w:val="center"/>
          </w:tcPr>
          <w:p w14:paraId="51970167">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1.1.3</w:t>
            </w:r>
          </w:p>
        </w:tc>
        <w:tc>
          <w:tcPr>
            <w:tcW w:w="2128" w:type="dxa"/>
            <w:tcBorders>
              <w:top w:val="single" w:color="auto" w:sz="4" w:space="0"/>
              <w:left w:val="single" w:color="auto" w:sz="4" w:space="0"/>
              <w:bottom w:val="single" w:color="auto" w:sz="4" w:space="0"/>
              <w:right w:val="single" w:color="auto" w:sz="4" w:space="0"/>
            </w:tcBorders>
            <w:vAlign w:val="center"/>
          </w:tcPr>
          <w:p w14:paraId="6BC7D6BD">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val="en-US" w:eastAsia="zh-CN"/>
              </w:rPr>
              <w:t>采购</w:t>
            </w:r>
            <w:r>
              <w:rPr>
                <w:rFonts w:hint="eastAsia" w:ascii="黑体" w:hAnsi="黑体" w:eastAsia="黑体" w:cs="黑体"/>
                <w:color w:val="000000"/>
                <w:sz w:val="21"/>
                <w:szCs w:val="21"/>
                <w:highlight w:val="none"/>
              </w:rPr>
              <w:t>代理机构</w:t>
            </w:r>
          </w:p>
        </w:tc>
        <w:tc>
          <w:tcPr>
            <w:tcW w:w="5493" w:type="dxa"/>
            <w:tcBorders>
              <w:top w:val="single" w:color="auto" w:sz="4" w:space="0"/>
              <w:left w:val="single" w:color="auto" w:sz="4" w:space="0"/>
              <w:bottom w:val="single" w:color="auto" w:sz="4" w:space="0"/>
              <w:right w:val="single" w:color="auto" w:sz="4" w:space="0"/>
            </w:tcBorders>
            <w:vAlign w:val="center"/>
          </w:tcPr>
          <w:p w14:paraId="2A7C8AC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名  称：内蒙古元沣工程项目管理有限公司</w:t>
            </w:r>
          </w:p>
          <w:p w14:paraId="580FE801">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地  址：乌海市海勃湾区蒙西投资大厦10层</w:t>
            </w:r>
          </w:p>
          <w:p w14:paraId="2AE9E523">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联系人：王淼</w:t>
            </w:r>
          </w:p>
          <w:p w14:paraId="3CB250B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电  话：0473-2031888</w:t>
            </w:r>
          </w:p>
        </w:tc>
      </w:tr>
      <w:tr w14:paraId="440EDB15">
        <w:tblPrEx>
          <w:tblCellMar>
            <w:top w:w="0" w:type="dxa"/>
            <w:left w:w="108" w:type="dxa"/>
            <w:bottom w:w="0" w:type="dxa"/>
            <w:right w:w="108" w:type="dxa"/>
          </w:tblCellMar>
        </w:tblPrEx>
        <w:trPr>
          <w:trHeight w:val="542" w:hRule="atLeast"/>
        </w:trPr>
        <w:tc>
          <w:tcPr>
            <w:tcW w:w="918" w:type="dxa"/>
            <w:tcBorders>
              <w:top w:val="single" w:color="auto" w:sz="4" w:space="0"/>
              <w:left w:val="single" w:color="auto" w:sz="4" w:space="0"/>
              <w:bottom w:val="single" w:color="auto" w:sz="4" w:space="0"/>
              <w:right w:val="single" w:color="auto" w:sz="4" w:space="0"/>
            </w:tcBorders>
            <w:vAlign w:val="center"/>
          </w:tcPr>
          <w:p w14:paraId="09E9E3E8">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1.1.4</w:t>
            </w:r>
          </w:p>
        </w:tc>
        <w:tc>
          <w:tcPr>
            <w:tcW w:w="2128" w:type="dxa"/>
            <w:tcBorders>
              <w:top w:val="single" w:color="auto" w:sz="4" w:space="0"/>
              <w:left w:val="single" w:color="auto" w:sz="4" w:space="0"/>
              <w:bottom w:val="single" w:color="auto" w:sz="4" w:space="0"/>
              <w:right w:val="single" w:color="auto" w:sz="4" w:space="0"/>
            </w:tcBorders>
            <w:vAlign w:val="center"/>
          </w:tcPr>
          <w:p w14:paraId="15172B11">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eastAsia="zh-CN"/>
              </w:rPr>
              <w:t>项目</w:t>
            </w:r>
            <w:r>
              <w:rPr>
                <w:rFonts w:hint="eastAsia" w:ascii="黑体" w:hAnsi="黑体" w:eastAsia="黑体" w:cs="黑体"/>
                <w:color w:val="000000"/>
                <w:sz w:val="21"/>
                <w:szCs w:val="21"/>
                <w:highlight w:val="none"/>
              </w:rPr>
              <w:t>名称</w:t>
            </w:r>
          </w:p>
        </w:tc>
        <w:tc>
          <w:tcPr>
            <w:tcW w:w="5493" w:type="dxa"/>
            <w:tcBorders>
              <w:top w:val="single" w:color="auto" w:sz="4" w:space="0"/>
              <w:left w:val="single" w:color="auto" w:sz="4" w:space="0"/>
              <w:bottom w:val="single" w:color="auto" w:sz="4" w:space="0"/>
              <w:right w:val="single" w:color="auto" w:sz="4" w:space="0"/>
            </w:tcBorders>
            <w:vAlign w:val="center"/>
          </w:tcPr>
          <w:p w14:paraId="52272ADC">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BDO产业产品质量检测中心建设仪器采购项目</w:t>
            </w:r>
          </w:p>
        </w:tc>
      </w:tr>
      <w:tr w14:paraId="4B165CCF">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70F05378">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1.1.5</w:t>
            </w:r>
          </w:p>
        </w:tc>
        <w:tc>
          <w:tcPr>
            <w:tcW w:w="2128" w:type="dxa"/>
            <w:tcBorders>
              <w:top w:val="single" w:color="auto" w:sz="4" w:space="0"/>
              <w:left w:val="single" w:color="auto" w:sz="4" w:space="0"/>
              <w:bottom w:val="single" w:color="auto" w:sz="4" w:space="0"/>
              <w:right w:val="single" w:color="auto" w:sz="4" w:space="0"/>
            </w:tcBorders>
            <w:vAlign w:val="center"/>
          </w:tcPr>
          <w:p w14:paraId="5AD7EA9D">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项目地点</w:t>
            </w:r>
          </w:p>
        </w:tc>
        <w:tc>
          <w:tcPr>
            <w:tcW w:w="5493" w:type="dxa"/>
            <w:tcBorders>
              <w:top w:val="single" w:color="auto" w:sz="4" w:space="0"/>
              <w:left w:val="single" w:color="auto" w:sz="4" w:space="0"/>
              <w:bottom w:val="single" w:color="auto" w:sz="4" w:space="0"/>
              <w:right w:val="single" w:color="auto" w:sz="4" w:space="0"/>
            </w:tcBorders>
            <w:vAlign w:val="center"/>
          </w:tcPr>
          <w:p w14:paraId="42DBA9DB">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乌海市海勃湾区</w:t>
            </w:r>
          </w:p>
        </w:tc>
      </w:tr>
      <w:tr w14:paraId="0E375DE3">
        <w:tblPrEx>
          <w:tblCellMar>
            <w:top w:w="0" w:type="dxa"/>
            <w:left w:w="108" w:type="dxa"/>
            <w:bottom w:w="0" w:type="dxa"/>
            <w:right w:w="108" w:type="dxa"/>
          </w:tblCellMar>
        </w:tblPrEx>
        <w:trPr>
          <w:trHeight w:val="483" w:hRule="atLeast"/>
        </w:trPr>
        <w:tc>
          <w:tcPr>
            <w:tcW w:w="918" w:type="dxa"/>
            <w:tcBorders>
              <w:top w:val="single" w:color="auto" w:sz="4" w:space="0"/>
              <w:left w:val="single" w:color="auto" w:sz="4" w:space="0"/>
              <w:bottom w:val="single" w:color="auto" w:sz="4" w:space="0"/>
              <w:right w:val="single" w:color="auto" w:sz="4" w:space="0"/>
            </w:tcBorders>
            <w:vAlign w:val="center"/>
          </w:tcPr>
          <w:p w14:paraId="6B6D73A5">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1.1.6</w:t>
            </w:r>
          </w:p>
        </w:tc>
        <w:tc>
          <w:tcPr>
            <w:tcW w:w="2128" w:type="dxa"/>
            <w:tcBorders>
              <w:top w:val="single" w:color="auto" w:sz="4" w:space="0"/>
              <w:left w:val="single" w:color="auto" w:sz="4" w:space="0"/>
              <w:bottom w:val="single" w:color="auto" w:sz="4" w:space="0"/>
              <w:right w:val="single" w:color="auto" w:sz="4" w:space="0"/>
            </w:tcBorders>
            <w:vAlign w:val="center"/>
          </w:tcPr>
          <w:p w14:paraId="0726127C">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val="en-US" w:eastAsia="zh-CN"/>
              </w:rPr>
              <w:t>项目概况</w:t>
            </w:r>
          </w:p>
        </w:tc>
        <w:tc>
          <w:tcPr>
            <w:tcW w:w="5493" w:type="dxa"/>
            <w:tcBorders>
              <w:top w:val="single" w:color="auto" w:sz="4" w:space="0"/>
              <w:left w:val="single" w:color="auto" w:sz="4" w:space="0"/>
              <w:bottom w:val="single" w:color="auto" w:sz="4" w:space="0"/>
              <w:right w:val="single" w:color="auto" w:sz="4" w:space="0"/>
            </w:tcBorders>
            <w:vAlign w:val="center"/>
          </w:tcPr>
          <w:p w14:paraId="1C331F17">
            <w:pPr>
              <w:pageBreakBefore w:val="0"/>
              <w:kinsoku/>
              <w:wordWrap/>
              <w:overflowPunct/>
              <w:topLinePunct w:val="0"/>
              <w:autoSpaceDE/>
              <w:autoSpaceDN/>
              <w:bidi w:val="0"/>
              <w:spacing w:line="360" w:lineRule="auto"/>
              <w:jc w:val="left"/>
              <w:textAlignment w:val="auto"/>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乌海市检验检测中心拟采购4台仪器设备</w:t>
            </w:r>
          </w:p>
        </w:tc>
      </w:tr>
      <w:tr w14:paraId="217F0A9F">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040152CE">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cs="黑体"/>
                <w:color w:val="000000"/>
                <w:sz w:val="21"/>
                <w:szCs w:val="21"/>
                <w:highlight w:val="none"/>
                <w:lang w:val="en-US" w:eastAsia="zh-CN"/>
              </w:rPr>
              <w:t>1.2.1</w:t>
            </w:r>
          </w:p>
        </w:tc>
        <w:tc>
          <w:tcPr>
            <w:tcW w:w="2128" w:type="dxa"/>
            <w:tcBorders>
              <w:top w:val="single" w:color="auto" w:sz="4" w:space="0"/>
              <w:left w:val="single" w:color="auto" w:sz="4" w:space="0"/>
              <w:bottom w:val="single" w:color="auto" w:sz="4" w:space="0"/>
              <w:right w:val="single" w:color="auto" w:sz="4" w:space="0"/>
            </w:tcBorders>
            <w:vAlign w:val="center"/>
          </w:tcPr>
          <w:p w14:paraId="070A7BB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资金来源</w:t>
            </w:r>
          </w:p>
        </w:tc>
        <w:tc>
          <w:tcPr>
            <w:tcW w:w="5493" w:type="dxa"/>
            <w:tcBorders>
              <w:top w:val="single" w:color="auto" w:sz="4" w:space="0"/>
              <w:left w:val="single" w:color="auto" w:sz="4" w:space="0"/>
              <w:bottom w:val="single" w:color="auto" w:sz="4" w:space="0"/>
              <w:right w:val="single" w:color="auto" w:sz="4" w:space="0"/>
            </w:tcBorders>
            <w:vAlign w:val="center"/>
          </w:tcPr>
          <w:p w14:paraId="475A4CEF">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财政专项资金</w:t>
            </w:r>
          </w:p>
        </w:tc>
      </w:tr>
      <w:tr w14:paraId="411DDBFE">
        <w:tblPrEx>
          <w:tblCellMar>
            <w:top w:w="0" w:type="dxa"/>
            <w:left w:w="108" w:type="dxa"/>
            <w:bottom w:w="0" w:type="dxa"/>
            <w:right w:w="108" w:type="dxa"/>
          </w:tblCellMar>
        </w:tblPrEx>
        <w:trPr>
          <w:trHeight w:val="1100" w:hRule="atLeast"/>
        </w:trPr>
        <w:tc>
          <w:tcPr>
            <w:tcW w:w="918" w:type="dxa"/>
            <w:tcBorders>
              <w:top w:val="single" w:color="auto" w:sz="4" w:space="0"/>
              <w:left w:val="single" w:color="auto" w:sz="4" w:space="0"/>
              <w:bottom w:val="single" w:color="auto" w:sz="4" w:space="0"/>
              <w:right w:val="single" w:color="auto" w:sz="4" w:space="0"/>
            </w:tcBorders>
            <w:vAlign w:val="center"/>
          </w:tcPr>
          <w:p w14:paraId="6731C12B">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1.3.1</w:t>
            </w:r>
          </w:p>
        </w:tc>
        <w:tc>
          <w:tcPr>
            <w:tcW w:w="2128" w:type="dxa"/>
            <w:tcBorders>
              <w:top w:val="single" w:color="auto" w:sz="4" w:space="0"/>
              <w:left w:val="single" w:color="auto" w:sz="4" w:space="0"/>
              <w:bottom w:val="single" w:color="auto" w:sz="4" w:space="0"/>
              <w:right w:val="single" w:color="auto" w:sz="4" w:space="0"/>
            </w:tcBorders>
            <w:vAlign w:val="center"/>
          </w:tcPr>
          <w:p w14:paraId="5D9480B5">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采购范围</w:t>
            </w:r>
          </w:p>
        </w:tc>
        <w:tc>
          <w:tcPr>
            <w:tcW w:w="5493" w:type="dxa"/>
            <w:tcBorders>
              <w:top w:val="single" w:color="auto" w:sz="4" w:space="0"/>
              <w:left w:val="single" w:color="auto" w:sz="4" w:space="0"/>
              <w:bottom w:val="single" w:color="auto" w:sz="4" w:space="0"/>
              <w:right w:val="single" w:color="auto" w:sz="4" w:space="0"/>
            </w:tcBorders>
            <w:vAlign w:val="center"/>
          </w:tcPr>
          <w:p w14:paraId="4E402267">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仪器设备的采购、安装及调试，具体内容及要求详见磋商文件第五章采购人要求。</w:t>
            </w:r>
          </w:p>
        </w:tc>
      </w:tr>
      <w:tr w14:paraId="2ABC6FA2">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68CE57A4">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1.3.2</w:t>
            </w:r>
          </w:p>
        </w:tc>
        <w:tc>
          <w:tcPr>
            <w:tcW w:w="2128" w:type="dxa"/>
            <w:tcBorders>
              <w:top w:val="single" w:color="auto" w:sz="4" w:space="0"/>
              <w:left w:val="single" w:color="auto" w:sz="4" w:space="0"/>
              <w:bottom w:val="single" w:color="auto" w:sz="4" w:space="0"/>
              <w:right w:val="single" w:color="auto" w:sz="4" w:space="0"/>
            </w:tcBorders>
            <w:vAlign w:val="center"/>
          </w:tcPr>
          <w:p w14:paraId="0E5B74A1">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交货及安装周期要求</w:t>
            </w:r>
          </w:p>
        </w:tc>
        <w:tc>
          <w:tcPr>
            <w:tcW w:w="5493" w:type="dxa"/>
            <w:tcBorders>
              <w:top w:val="single" w:color="auto" w:sz="4" w:space="0"/>
              <w:left w:val="single" w:color="auto" w:sz="4" w:space="0"/>
              <w:bottom w:val="single" w:color="auto" w:sz="4" w:space="0"/>
              <w:right w:val="single" w:color="auto" w:sz="4" w:space="0"/>
            </w:tcBorders>
            <w:vAlign w:val="center"/>
          </w:tcPr>
          <w:p w14:paraId="76880B6B">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45日历天</w:t>
            </w:r>
          </w:p>
        </w:tc>
      </w:tr>
      <w:tr w14:paraId="305FA967">
        <w:tblPrEx>
          <w:tblCellMar>
            <w:top w:w="0" w:type="dxa"/>
            <w:left w:w="108" w:type="dxa"/>
            <w:bottom w:w="0" w:type="dxa"/>
            <w:right w:w="108" w:type="dxa"/>
          </w:tblCellMar>
        </w:tblPrEx>
        <w:trPr>
          <w:trHeight w:val="493" w:hRule="atLeast"/>
        </w:trPr>
        <w:tc>
          <w:tcPr>
            <w:tcW w:w="918" w:type="dxa"/>
            <w:tcBorders>
              <w:top w:val="single" w:color="auto" w:sz="4" w:space="0"/>
              <w:left w:val="single" w:color="auto" w:sz="4" w:space="0"/>
              <w:bottom w:val="single" w:color="auto" w:sz="4" w:space="0"/>
              <w:right w:val="single" w:color="auto" w:sz="4" w:space="0"/>
            </w:tcBorders>
            <w:vAlign w:val="center"/>
          </w:tcPr>
          <w:p w14:paraId="01553E82">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1.3.3</w:t>
            </w:r>
          </w:p>
        </w:tc>
        <w:tc>
          <w:tcPr>
            <w:tcW w:w="2128" w:type="dxa"/>
            <w:tcBorders>
              <w:top w:val="single" w:color="auto" w:sz="4" w:space="0"/>
              <w:left w:val="single" w:color="auto" w:sz="4" w:space="0"/>
              <w:bottom w:val="single" w:color="auto" w:sz="4" w:space="0"/>
              <w:right w:val="single" w:color="auto" w:sz="4" w:space="0"/>
            </w:tcBorders>
            <w:vAlign w:val="center"/>
          </w:tcPr>
          <w:p w14:paraId="1E266C9E">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质量标准</w:t>
            </w:r>
          </w:p>
        </w:tc>
        <w:tc>
          <w:tcPr>
            <w:tcW w:w="5493" w:type="dxa"/>
            <w:tcBorders>
              <w:top w:val="single" w:color="auto" w:sz="4" w:space="0"/>
              <w:left w:val="single" w:color="auto" w:sz="4" w:space="0"/>
              <w:bottom w:val="single" w:color="auto" w:sz="4" w:space="0"/>
              <w:right w:val="single" w:color="auto" w:sz="4" w:space="0"/>
            </w:tcBorders>
            <w:vAlign w:val="center"/>
          </w:tcPr>
          <w:p w14:paraId="691B3CF7">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黑体" w:hAnsi="黑体" w:eastAsia="黑体" w:cs="黑体"/>
                <w:sz w:val="21"/>
                <w:szCs w:val="21"/>
                <w:highlight w:val="none"/>
                <w:lang w:val="en-US" w:eastAsia="zh-CN"/>
              </w:rPr>
            </w:pPr>
            <w:r>
              <w:rPr>
                <w:rFonts w:hint="eastAsia" w:ascii="黑体" w:hAnsi="黑体" w:eastAsia="黑体" w:cs="黑体"/>
                <w:sz w:val="21"/>
                <w:highlight w:val="none"/>
                <w:lang w:val="en-US" w:eastAsia="zh-CN"/>
              </w:rPr>
              <w:t>符合国家、行业质量合格标准</w:t>
            </w:r>
          </w:p>
        </w:tc>
      </w:tr>
      <w:tr w14:paraId="29AAC826">
        <w:tblPrEx>
          <w:tblCellMar>
            <w:top w:w="0" w:type="dxa"/>
            <w:left w:w="108" w:type="dxa"/>
            <w:bottom w:w="0" w:type="dxa"/>
            <w:right w:w="108" w:type="dxa"/>
          </w:tblCellMar>
        </w:tblPrEx>
        <w:trPr>
          <w:trHeight w:val="493" w:hRule="atLeast"/>
        </w:trPr>
        <w:tc>
          <w:tcPr>
            <w:tcW w:w="918" w:type="dxa"/>
            <w:tcBorders>
              <w:top w:val="single" w:color="auto" w:sz="4" w:space="0"/>
              <w:left w:val="single" w:color="auto" w:sz="4" w:space="0"/>
              <w:bottom w:val="single" w:color="auto" w:sz="4" w:space="0"/>
              <w:right w:val="single" w:color="auto" w:sz="4" w:space="0"/>
            </w:tcBorders>
            <w:vAlign w:val="center"/>
          </w:tcPr>
          <w:p w14:paraId="0DB2ADB6">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1.3.4</w:t>
            </w:r>
          </w:p>
        </w:tc>
        <w:tc>
          <w:tcPr>
            <w:tcW w:w="2128" w:type="dxa"/>
            <w:tcBorders>
              <w:top w:val="single" w:color="auto" w:sz="4" w:space="0"/>
              <w:left w:val="single" w:color="auto" w:sz="4" w:space="0"/>
              <w:bottom w:val="single" w:color="auto" w:sz="4" w:space="0"/>
              <w:right w:val="single" w:color="auto" w:sz="4" w:space="0"/>
            </w:tcBorders>
            <w:vAlign w:val="center"/>
          </w:tcPr>
          <w:p w14:paraId="02CB81CA">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质保期</w:t>
            </w:r>
          </w:p>
        </w:tc>
        <w:tc>
          <w:tcPr>
            <w:tcW w:w="5493" w:type="dxa"/>
            <w:tcBorders>
              <w:top w:val="single" w:color="auto" w:sz="4" w:space="0"/>
              <w:left w:val="single" w:color="auto" w:sz="4" w:space="0"/>
              <w:bottom w:val="single" w:color="auto" w:sz="4" w:space="0"/>
              <w:right w:val="single" w:color="auto" w:sz="4" w:space="0"/>
            </w:tcBorders>
            <w:vAlign w:val="center"/>
          </w:tcPr>
          <w:p w14:paraId="73C255FD">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黑体" w:hAnsi="黑体" w:eastAsia="黑体" w:cs="黑体"/>
                <w:sz w:val="21"/>
                <w:highlight w:val="none"/>
                <w:lang w:val="en-US" w:eastAsia="zh-CN"/>
              </w:rPr>
            </w:pPr>
            <w:r>
              <w:rPr>
                <w:rFonts w:hint="eastAsia" w:ascii="黑体" w:hAnsi="黑体" w:eastAsia="黑体" w:cs="黑体"/>
                <w:sz w:val="21"/>
                <w:highlight w:val="none"/>
                <w:lang w:val="en-US" w:eastAsia="zh-CN"/>
              </w:rPr>
              <w:t>一年</w:t>
            </w:r>
          </w:p>
        </w:tc>
      </w:tr>
      <w:tr w14:paraId="773D8953">
        <w:tblPrEx>
          <w:tblCellMar>
            <w:top w:w="0" w:type="dxa"/>
            <w:left w:w="108" w:type="dxa"/>
            <w:bottom w:w="0" w:type="dxa"/>
            <w:right w:w="108" w:type="dxa"/>
          </w:tblCellMar>
        </w:tblPrEx>
        <w:trPr>
          <w:trHeight w:val="967" w:hRule="atLeast"/>
        </w:trPr>
        <w:tc>
          <w:tcPr>
            <w:tcW w:w="918" w:type="dxa"/>
            <w:tcBorders>
              <w:top w:val="single" w:color="auto" w:sz="4" w:space="0"/>
              <w:left w:val="single" w:color="auto" w:sz="4" w:space="0"/>
              <w:bottom w:val="single" w:color="auto" w:sz="4" w:space="0"/>
              <w:right w:val="single" w:color="auto" w:sz="4" w:space="0"/>
            </w:tcBorders>
            <w:vAlign w:val="center"/>
          </w:tcPr>
          <w:p w14:paraId="5FFE34AE">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1.4.1</w:t>
            </w:r>
          </w:p>
        </w:tc>
        <w:tc>
          <w:tcPr>
            <w:tcW w:w="2128" w:type="dxa"/>
            <w:tcBorders>
              <w:top w:val="single" w:color="auto" w:sz="4" w:space="0"/>
              <w:left w:val="single" w:color="auto" w:sz="4" w:space="0"/>
              <w:bottom w:val="single" w:color="auto" w:sz="4" w:space="0"/>
              <w:right w:val="single" w:color="auto" w:sz="4" w:space="0"/>
            </w:tcBorders>
            <w:vAlign w:val="center"/>
          </w:tcPr>
          <w:p w14:paraId="79F5E971">
            <w:pPr>
              <w:keepNext w:val="0"/>
              <w:keepLines w:val="0"/>
              <w:pageBreakBefore w:val="0"/>
              <w:widowControl w:val="0"/>
              <w:kinsoku/>
              <w:wordWrap/>
              <w:overflowPunct/>
              <w:topLinePunct w:val="0"/>
              <w:autoSpaceDE/>
              <w:autoSpaceDN/>
              <w:bidi w:val="0"/>
              <w:adjustRightInd/>
              <w:snapToGrid/>
              <w:spacing w:line="460" w:lineRule="exact"/>
              <w:ind w:firstLine="210" w:firstLineChars="100"/>
              <w:textAlignment w:val="auto"/>
              <w:outlineLvl w:val="9"/>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供应商资质条件、</w:t>
            </w:r>
          </w:p>
          <w:p w14:paraId="1AAAF3F2">
            <w:pPr>
              <w:keepNext w:val="0"/>
              <w:keepLines w:val="0"/>
              <w:pageBreakBefore w:val="0"/>
              <w:widowControl w:val="0"/>
              <w:kinsoku/>
              <w:wordWrap/>
              <w:overflowPunct/>
              <w:topLinePunct w:val="0"/>
              <w:autoSpaceDE/>
              <w:autoSpaceDN/>
              <w:bidi w:val="0"/>
              <w:adjustRightInd/>
              <w:snapToGrid/>
              <w:spacing w:line="460" w:lineRule="exact"/>
              <w:ind w:firstLine="420" w:firstLineChars="200"/>
              <w:textAlignment w:val="auto"/>
              <w:outlineLvl w:val="9"/>
              <w:rPr>
                <w:rFonts w:hint="eastAsia" w:ascii="黑体" w:hAnsi="黑体" w:eastAsia="黑体" w:cs="黑体"/>
                <w:sz w:val="21"/>
                <w:highlight w:val="none"/>
                <w:lang w:val="en-US" w:eastAsia="zh-CN"/>
              </w:rPr>
            </w:pPr>
            <w:r>
              <w:rPr>
                <w:rFonts w:hint="eastAsia" w:ascii="黑体" w:hAnsi="黑体" w:eastAsia="黑体" w:cs="黑体"/>
                <w:color w:val="000000"/>
                <w:sz w:val="21"/>
                <w:szCs w:val="21"/>
                <w:highlight w:val="none"/>
                <w:lang w:val="en-US" w:eastAsia="zh-CN"/>
              </w:rPr>
              <w:t>能力、信誉</w:t>
            </w:r>
          </w:p>
        </w:tc>
        <w:tc>
          <w:tcPr>
            <w:tcW w:w="5493" w:type="dxa"/>
            <w:tcBorders>
              <w:top w:val="single" w:color="auto" w:sz="4" w:space="0"/>
              <w:left w:val="single" w:color="auto" w:sz="4" w:space="0"/>
              <w:bottom w:val="single" w:color="auto" w:sz="4" w:space="0"/>
              <w:right w:val="single" w:color="auto" w:sz="4" w:space="0"/>
            </w:tcBorders>
            <w:vAlign w:val="center"/>
          </w:tcPr>
          <w:p w14:paraId="73D64CC8">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黑体" w:hAnsi="黑体" w:eastAsia="黑体" w:cs="黑体"/>
                <w:sz w:val="21"/>
                <w:highlight w:val="none"/>
                <w:lang w:val="en-US" w:eastAsia="zh-CN"/>
              </w:rPr>
            </w:pPr>
            <w:r>
              <w:rPr>
                <w:rFonts w:hint="eastAsia" w:ascii="黑体" w:hAnsi="黑体" w:eastAsia="黑体" w:cs="黑体"/>
                <w:sz w:val="21"/>
                <w:highlight w:val="none"/>
                <w:lang w:val="en-US" w:eastAsia="zh-CN"/>
              </w:rPr>
              <w:t>详见第一章竞争性磋商公告</w:t>
            </w:r>
          </w:p>
        </w:tc>
      </w:tr>
      <w:tr w14:paraId="67C840F8">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65AAB7E3">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1.4.2</w:t>
            </w:r>
          </w:p>
        </w:tc>
        <w:tc>
          <w:tcPr>
            <w:tcW w:w="2128" w:type="dxa"/>
            <w:tcBorders>
              <w:top w:val="single" w:color="auto" w:sz="4" w:space="0"/>
              <w:left w:val="single" w:color="auto" w:sz="4" w:space="0"/>
              <w:bottom w:val="single" w:color="auto" w:sz="4" w:space="0"/>
              <w:right w:val="single" w:color="auto" w:sz="4" w:space="0"/>
            </w:tcBorders>
            <w:vAlign w:val="center"/>
          </w:tcPr>
          <w:p w14:paraId="51CBA5E9">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是否接受联合体</w:t>
            </w:r>
            <w:r>
              <w:rPr>
                <w:rFonts w:hint="eastAsia" w:ascii="黑体" w:hAnsi="黑体" w:eastAsia="黑体" w:cs="黑体"/>
                <w:color w:val="000000"/>
                <w:sz w:val="21"/>
                <w:szCs w:val="21"/>
                <w:highlight w:val="none"/>
                <w:lang w:val="en-US" w:eastAsia="zh-CN"/>
              </w:rPr>
              <w:t>投标</w:t>
            </w:r>
          </w:p>
        </w:tc>
        <w:tc>
          <w:tcPr>
            <w:tcW w:w="5493" w:type="dxa"/>
            <w:tcBorders>
              <w:top w:val="single" w:color="auto" w:sz="4" w:space="0"/>
              <w:left w:val="single" w:color="auto" w:sz="4" w:space="0"/>
              <w:bottom w:val="single" w:color="auto" w:sz="4" w:space="0"/>
              <w:right w:val="single" w:color="auto" w:sz="4" w:space="0"/>
            </w:tcBorders>
            <w:vAlign w:val="center"/>
          </w:tcPr>
          <w:p w14:paraId="61D35D4F">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不接受</w:t>
            </w:r>
          </w:p>
        </w:tc>
      </w:tr>
      <w:tr w14:paraId="7DB16538">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1D67F20F">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1.4.3</w:t>
            </w:r>
          </w:p>
        </w:tc>
        <w:tc>
          <w:tcPr>
            <w:tcW w:w="2128" w:type="dxa"/>
            <w:tcBorders>
              <w:top w:val="single" w:color="auto" w:sz="4" w:space="0"/>
              <w:left w:val="single" w:color="auto" w:sz="4" w:space="0"/>
              <w:bottom w:val="single" w:color="auto" w:sz="4" w:space="0"/>
              <w:right w:val="single" w:color="auto" w:sz="4" w:space="0"/>
            </w:tcBorders>
            <w:vAlign w:val="center"/>
          </w:tcPr>
          <w:p w14:paraId="1101FFFB">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不得存在的</w:t>
            </w:r>
            <w:r>
              <w:rPr>
                <w:rFonts w:hint="eastAsia" w:ascii="黑体" w:hAnsi="黑体" w:eastAsia="黑体" w:cs="黑体"/>
                <w:color w:val="000000"/>
                <w:sz w:val="21"/>
                <w:szCs w:val="21"/>
                <w:highlight w:val="none"/>
                <w:lang w:val="en-US" w:eastAsia="zh-CN"/>
              </w:rPr>
              <w:t xml:space="preserve"> </w:t>
            </w:r>
            <w:r>
              <w:rPr>
                <w:rFonts w:hint="eastAsia" w:ascii="黑体" w:hAnsi="黑体" w:eastAsia="黑体" w:cs="黑体"/>
                <w:color w:val="000000"/>
                <w:sz w:val="21"/>
                <w:szCs w:val="21"/>
                <w:highlight w:val="none"/>
              </w:rPr>
              <w:t>其他情形</w:t>
            </w:r>
          </w:p>
        </w:tc>
        <w:tc>
          <w:tcPr>
            <w:tcW w:w="5493" w:type="dxa"/>
            <w:tcBorders>
              <w:top w:val="single" w:color="auto" w:sz="4" w:space="0"/>
              <w:left w:val="single" w:color="auto" w:sz="4" w:space="0"/>
              <w:bottom w:val="single" w:color="auto" w:sz="4" w:space="0"/>
              <w:right w:val="single" w:color="auto" w:sz="4" w:space="0"/>
            </w:tcBorders>
            <w:vAlign w:val="center"/>
          </w:tcPr>
          <w:p w14:paraId="357C6268">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cs="黑体"/>
                <w:color w:val="000000"/>
                <w:sz w:val="21"/>
                <w:szCs w:val="21"/>
                <w:highlight w:val="none"/>
                <w:lang w:val="en-US" w:eastAsia="zh-CN"/>
              </w:rPr>
              <w:t>/</w:t>
            </w:r>
          </w:p>
        </w:tc>
      </w:tr>
      <w:tr w14:paraId="03755399">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5CDDD857">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1.9.1</w:t>
            </w:r>
          </w:p>
        </w:tc>
        <w:tc>
          <w:tcPr>
            <w:tcW w:w="2128" w:type="dxa"/>
            <w:tcBorders>
              <w:top w:val="single" w:color="auto" w:sz="4" w:space="0"/>
              <w:left w:val="single" w:color="auto" w:sz="4" w:space="0"/>
              <w:bottom w:val="single" w:color="auto" w:sz="4" w:space="0"/>
              <w:right w:val="single" w:color="auto" w:sz="4" w:space="0"/>
            </w:tcBorders>
            <w:vAlign w:val="center"/>
          </w:tcPr>
          <w:p w14:paraId="0530FCD5">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踏勘现场</w:t>
            </w:r>
          </w:p>
        </w:tc>
        <w:tc>
          <w:tcPr>
            <w:tcW w:w="5493" w:type="dxa"/>
            <w:tcBorders>
              <w:top w:val="single" w:color="auto" w:sz="4" w:space="0"/>
              <w:left w:val="single" w:color="auto" w:sz="4" w:space="0"/>
              <w:bottom w:val="single" w:color="auto" w:sz="4" w:space="0"/>
              <w:right w:val="single" w:color="auto" w:sz="4" w:space="0"/>
            </w:tcBorders>
            <w:vAlign w:val="center"/>
          </w:tcPr>
          <w:p w14:paraId="64167D65">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不组织</w:t>
            </w:r>
          </w:p>
        </w:tc>
      </w:tr>
      <w:tr w14:paraId="3D51C3DC">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3CBFE70E">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1.10.1</w:t>
            </w:r>
          </w:p>
        </w:tc>
        <w:tc>
          <w:tcPr>
            <w:tcW w:w="2128" w:type="dxa"/>
            <w:tcBorders>
              <w:top w:val="single" w:color="auto" w:sz="4" w:space="0"/>
              <w:left w:val="single" w:color="auto" w:sz="4" w:space="0"/>
              <w:bottom w:val="single" w:color="auto" w:sz="4" w:space="0"/>
              <w:right w:val="single" w:color="auto" w:sz="4" w:space="0"/>
            </w:tcBorders>
            <w:vAlign w:val="center"/>
          </w:tcPr>
          <w:p w14:paraId="5B2A2328">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val="en-US" w:eastAsia="zh-CN"/>
              </w:rPr>
              <w:t>磋商</w:t>
            </w:r>
            <w:r>
              <w:rPr>
                <w:rFonts w:hint="eastAsia" w:ascii="黑体" w:hAnsi="黑体" w:eastAsia="黑体" w:cs="黑体"/>
                <w:color w:val="000000"/>
                <w:sz w:val="21"/>
                <w:szCs w:val="21"/>
                <w:highlight w:val="none"/>
              </w:rPr>
              <w:t>预备会</w:t>
            </w:r>
          </w:p>
        </w:tc>
        <w:tc>
          <w:tcPr>
            <w:tcW w:w="5493" w:type="dxa"/>
            <w:tcBorders>
              <w:top w:val="single" w:color="auto" w:sz="4" w:space="0"/>
              <w:left w:val="single" w:color="auto" w:sz="4" w:space="0"/>
              <w:bottom w:val="single" w:color="auto" w:sz="4" w:space="0"/>
              <w:right w:val="single" w:color="auto" w:sz="4" w:space="0"/>
            </w:tcBorders>
            <w:vAlign w:val="center"/>
          </w:tcPr>
          <w:p w14:paraId="7A6267D0">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不召开</w:t>
            </w:r>
          </w:p>
        </w:tc>
      </w:tr>
      <w:tr w14:paraId="0497B80E">
        <w:tblPrEx>
          <w:tblCellMar>
            <w:top w:w="0" w:type="dxa"/>
            <w:left w:w="108" w:type="dxa"/>
            <w:bottom w:w="0" w:type="dxa"/>
            <w:right w:w="108" w:type="dxa"/>
          </w:tblCellMar>
        </w:tblPrEx>
        <w:trPr>
          <w:trHeight w:val="899" w:hRule="atLeast"/>
        </w:trPr>
        <w:tc>
          <w:tcPr>
            <w:tcW w:w="918" w:type="dxa"/>
            <w:tcBorders>
              <w:left w:val="single" w:color="auto" w:sz="4" w:space="0"/>
              <w:bottom w:val="single" w:color="auto" w:sz="4" w:space="0"/>
              <w:right w:val="single" w:color="auto" w:sz="4" w:space="0"/>
            </w:tcBorders>
            <w:vAlign w:val="center"/>
          </w:tcPr>
          <w:p w14:paraId="789D3EBC">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1.10.3</w:t>
            </w:r>
          </w:p>
        </w:tc>
        <w:tc>
          <w:tcPr>
            <w:tcW w:w="2128" w:type="dxa"/>
            <w:tcBorders>
              <w:left w:val="single" w:color="auto" w:sz="4" w:space="0"/>
              <w:bottom w:val="single" w:color="auto" w:sz="4" w:space="0"/>
              <w:right w:val="single" w:color="auto" w:sz="4" w:space="0"/>
            </w:tcBorders>
            <w:vAlign w:val="center"/>
          </w:tcPr>
          <w:p w14:paraId="757B2388">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澄清发出的形式</w:t>
            </w:r>
          </w:p>
        </w:tc>
        <w:tc>
          <w:tcPr>
            <w:tcW w:w="5493" w:type="dxa"/>
            <w:tcBorders>
              <w:top w:val="single" w:color="auto" w:sz="4" w:space="0"/>
              <w:left w:val="single" w:color="auto" w:sz="4" w:space="0"/>
              <w:bottom w:val="single" w:color="auto" w:sz="4" w:space="0"/>
              <w:right w:val="single" w:color="auto" w:sz="4" w:space="0"/>
            </w:tcBorders>
            <w:vAlign w:val="center"/>
          </w:tcPr>
          <w:p w14:paraId="5C6878B4">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网络公示或邮件发送</w:t>
            </w:r>
          </w:p>
        </w:tc>
      </w:tr>
      <w:tr w14:paraId="0986E901">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26A6FD3A">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1.11.1</w:t>
            </w:r>
          </w:p>
        </w:tc>
        <w:tc>
          <w:tcPr>
            <w:tcW w:w="2128" w:type="dxa"/>
            <w:tcBorders>
              <w:top w:val="single" w:color="auto" w:sz="4" w:space="0"/>
              <w:left w:val="single" w:color="auto" w:sz="4" w:space="0"/>
              <w:bottom w:val="single" w:color="auto" w:sz="4" w:space="0"/>
              <w:right w:val="single" w:color="auto" w:sz="4" w:space="0"/>
            </w:tcBorders>
            <w:vAlign w:val="center"/>
          </w:tcPr>
          <w:p w14:paraId="3D3123ED">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分包</w:t>
            </w:r>
          </w:p>
        </w:tc>
        <w:tc>
          <w:tcPr>
            <w:tcW w:w="5493" w:type="dxa"/>
            <w:tcBorders>
              <w:top w:val="single" w:color="auto" w:sz="4" w:space="0"/>
              <w:left w:val="single" w:color="auto" w:sz="4" w:space="0"/>
              <w:bottom w:val="single" w:color="auto" w:sz="4" w:space="0"/>
              <w:right w:val="single" w:color="auto" w:sz="4" w:space="0"/>
            </w:tcBorders>
            <w:vAlign w:val="center"/>
          </w:tcPr>
          <w:p w14:paraId="64241ABA">
            <w:pPr>
              <w:spacing w:line="440" w:lineRule="exact"/>
              <w:jc w:val="left"/>
              <w:rPr>
                <w:rFonts w:hint="eastAsia" w:ascii="黑体" w:hAnsi="黑体" w:eastAsia="黑体" w:cs="黑体"/>
                <w:color w:val="000000"/>
                <w:sz w:val="21"/>
                <w:szCs w:val="21"/>
                <w:highlight w:val="none"/>
                <w:lang w:eastAsia="zh-CN"/>
              </w:rPr>
            </w:pPr>
            <w:r>
              <w:rPr>
                <w:rFonts w:hint="eastAsia" w:ascii="黑体" w:hAnsi="黑体" w:eastAsia="黑体" w:cs="黑体"/>
                <w:color w:val="000000"/>
                <w:sz w:val="21"/>
                <w:szCs w:val="21"/>
                <w:highlight w:val="none"/>
              </w:rPr>
              <w:t>不允许</w:t>
            </w:r>
          </w:p>
        </w:tc>
      </w:tr>
      <w:tr w14:paraId="1E0E8161">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07E1B3D2">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1.12.3</w:t>
            </w:r>
          </w:p>
        </w:tc>
        <w:tc>
          <w:tcPr>
            <w:tcW w:w="2128" w:type="dxa"/>
            <w:tcBorders>
              <w:top w:val="single" w:color="auto" w:sz="4" w:space="0"/>
              <w:left w:val="single" w:color="auto" w:sz="4" w:space="0"/>
              <w:bottom w:val="single" w:color="auto" w:sz="4" w:space="0"/>
              <w:right w:val="single" w:color="auto" w:sz="4" w:space="0"/>
            </w:tcBorders>
            <w:vAlign w:val="center"/>
          </w:tcPr>
          <w:p w14:paraId="65E17402">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偏差</w:t>
            </w:r>
          </w:p>
        </w:tc>
        <w:tc>
          <w:tcPr>
            <w:tcW w:w="5493" w:type="dxa"/>
            <w:tcBorders>
              <w:top w:val="single" w:color="auto" w:sz="4" w:space="0"/>
              <w:left w:val="single" w:color="auto" w:sz="4" w:space="0"/>
              <w:bottom w:val="single" w:color="auto" w:sz="4" w:space="0"/>
              <w:right w:val="single" w:color="auto" w:sz="4" w:space="0"/>
            </w:tcBorders>
            <w:vAlign w:val="top"/>
          </w:tcPr>
          <w:p w14:paraId="0F77C9F0">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不允许</w:t>
            </w:r>
          </w:p>
        </w:tc>
      </w:tr>
      <w:tr w14:paraId="519AC8AC">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3B684F07">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2.1</w:t>
            </w:r>
          </w:p>
        </w:tc>
        <w:tc>
          <w:tcPr>
            <w:tcW w:w="2128" w:type="dxa"/>
            <w:tcBorders>
              <w:top w:val="single" w:color="auto" w:sz="4" w:space="0"/>
              <w:left w:val="single" w:color="auto" w:sz="4" w:space="0"/>
              <w:bottom w:val="single" w:color="auto" w:sz="4" w:space="0"/>
              <w:right w:val="single" w:color="auto" w:sz="4" w:space="0"/>
            </w:tcBorders>
            <w:vAlign w:val="center"/>
          </w:tcPr>
          <w:p w14:paraId="737AFADA">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构成</w:t>
            </w: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的其他资料</w:t>
            </w:r>
          </w:p>
        </w:tc>
        <w:tc>
          <w:tcPr>
            <w:tcW w:w="5493" w:type="dxa"/>
            <w:tcBorders>
              <w:top w:val="single" w:color="auto" w:sz="4" w:space="0"/>
              <w:left w:val="single" w:color="auto" w:sz="4" w:space="0"/>
              <w:bottom w:val="single" w:color="auto" w:sz="4" w:space="0"/>
              <w:right w:val="single" w:color="auto" w:sz="4" w:space="0"/>
            </w:tcBorders>
            <w:vAlign w:val="center"/>
          </w:tcPr>
          <w:p w14:paraId="00A4EDFE">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本</w:t>
            </w: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的修改、澄清、答疑书</w:t>
            </w:r>
          </w:p>
        </w:tc>
      </w:tr>
      <w:tr w14:paraId="6D886633">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2A0F58EA">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2.2.1</w:t>
            </w:r>
          </w:p>
        </w:tc>
        <w:tc>
          <w:tcPr>
            <w:tcW w:w="2128" w:type="dxa"/>
            <w:tcBorders>
              <w:top w:val="single" w:color="auto" w:sz="4" w:space="0"/>
              <w:left w:val="single" w:color="auto" w:sz="4" w:space="0"/>
              <w:bottom w:val="single" w:color="auto" w:sz="4" w:space="0"/>
              <w:right w:val="single" w:color="auto" w:sz="4" w:space="0"/>
            </w:tcBorders>
            <w:vAlign w:val="center"/>
          </w:tcPr>
          <w:p w14:paraId="4BAE760E">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要求澄清</w:t>
            </w:r>
            <w:r>
              <w:rPr>
                <w:rFonts w:hint="eastAsia" w:ascii="黑体" w:hAnsi="黑体" w:eastAsia="黑体" w:cs="黑体"/>
                <w:color w:val="000000"/>
                <w:sz w:val="21"/>
                <w:szCs w:val="21"/>
                <w:highlight w:val="none"/>
                <w:lang w:eastAsia="zh-CN"/>
              </w:rPr>
              <w:t>竞争性磋商文件</w:t>
            </w:r>
          </w:p>
        </w:tc>
        <w:tc>
          <w:tcPr>
            <w:tcW w:w="5493" w:type="dxa"/>
            <w:tcBorders>
              <w:top w:val="single" w:color="auto" w:sz="4" w:space="0"/>
              <w:left w:val="single" w:color="auto" w:sz="4" w:space="0"/>
              <w:bottom w:val="single" w:color="auto" w:sz="4" w:space="0"/>
              <w:right w:val="single" w:color="auto" w:sz="4" w:space="0"/>
            </w:tcBorders>
            <w:vAlign w:val="center"/>
          </w:tcPr>
          <w:p w14:paraId="1777CEE4">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时间：提交</w:t>
            </w:r>
            <w:r>
              <w:rPr>
                <w:rFonts w:hint="eastAsia" w:ascii="黑体" w:hAnsi="黑体" w:eastAsia="黑体" w:cs="黑体"/>
                <w:color w:val="000000"/>
                <w:sz w:val="21"/>
                <w:szCs w:val="21"/>
                <w:highlight w:val="none"/>
                <w:lang w:eastAsia="zh-CN"/>
              </w:rPr>
              <w:t>投标文件</w:t>
            </w:r>
            <w:r>
              <w:rPr>
                <w:rFonts w:hint="eastAsia" w:ascii="黑体" w:hAnsi="黑体" w:eastAsia="黑体" w:cs="黑体"/>
                <w:color w:val="000000"/>
                <w:sz w:val="21"/>
                <w:szCs w:val="21"/>
                <w:highlight w:val="none"/>
              </w:rPr>
              <w:t>截至时间</w:t>
            </w:r>
            <w:r>
              <w:rPr>
                <w:rFonts w:hint="eastAsia" w:ascii="黑体" w:hAnsi="黑体" w:eastAsia="黑体" w:cs="黑体"/>
                <w:color w:val="000000"/>
                <w:sz w:val="21"/>
                <w:szCs w:val="21"/>
                <w:highlight w:val="none"/>
                <w:lang w:val="en-US" w:eastAsia="zh-CN"/>
              </w:rPr>
              <w:t>5</w:t>
            </w:r>
            <w:r>
              <w:rPr>
                <w:rFonts w:hint="eastAsia" w:ascii="黑体" w:hAnsi="黑体" w:eastAsia="黑体" w:cs="黑体"/>
                <w:color w:val="000000"/>
                <w:sz w:val="21"/>
                <w:szCs w:val="21"/>
                <w:highlight w:val="none"/>
              </w:rPr>
              <w:t>日前</w:t>
            </w:r>
          </w:p>
          <w:p w14:paraId="6DD8EC70">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形式：网络公示或邮件发送</w:t>
            </w:r>
          </w:p>
        </w:tc>
      </w:tr>
      <w:tr w14:paraId="43CE7B80">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191B7ECE">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2.2.2</w:t>
            </w:r>
          </w:p>
        </w:tc>
        <w:tc>
          <w:tcPr>
            <w:tcW w:w="2128" w:type="dxa"/>
            <w:tcBorders>
              <w:top w:val="single" w:color="auto" w:sz="4" w:space="0"/>
              <w:left w:val="single" w:color="auto" w:sz="4" w:space="0"/>
              <w:bottom w:val="single" w:color="auto" w:sz="4" w:space="0"/>
              <w:right w:val="single" w:color="auto" w:sz="4" w:space="0"/>
            </w:tcBorders>
            <w:vAlign w:val="center"/>
          </w:tcPr>
          <w:p w14:paraId="7763322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澄清发出的形式</w:t>
            </w:r>
          </w:p>
        </w:tc>
        <w:tc>
          <w:tcPr>
            <w:tcW w:w="5493" w:type="dxa"/>
            <w:tcBorders>
              <w:top w:val="single" w:color="auto" w:sz="4" w:space="0"/>
              <w:left w:val="single" w:color="auto" w:sz="4" w:space="0"/>
              <w:bottom w:val="single" w:color="auto" w:sz="4" w:space="0"/>
              <w:right w:val="single" w:color="auto" w:sz="4" w:space="0"/>
            </w:tcBorders>
            <w:vAlign w:val="center"/>
          </w:tcPr>
          <w:p w14:paraId="75E9E018">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网络公示或邮件发送</w:t>
            </w:r>
          </w:p>
        </w:tc>
      </w:tr>
      <w:tr w14:paraId="061269A7">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024158A0">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2.2.3</w:t>
            </w:r>
          </w:p>
        </w:tc>
        <w:tc>
          <w:tcPr>
            <w:tcW w:w="2128" w:type="dxa"/>
            <w:tcBorders>
              <w:top w:val="single" w:color="auto" w:sz="4" w:space="0"/>
              <w:left w:val="single" w:color="auto" w:sz="4" w:space="0"/>
              <w:bottom w:val="single" w:color="auto" w:sz="4" w:space="0"/>
              <w:right w:val="single" w:color="auto" w:sz="4" w:space="0"/>
            </w:tcBorders>
            <w:vAlign w:val="center"/>
          </w:tcPr>
          <w:p w14:paraId="5AC84E23">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确认收到</w:t>
            </w: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澄清</w:t>
            </w:r>
          </w:p>
        </w:tc>
        <w:tc>
          <w:tcPr>
            <w:tcW w:w="5493" w:type="dxa"/>
            <w:tcBorders>
              <w:top w:val="single" w:color="auto" w:sz="4" w:space="0"/>
              <w:left w:val="single" w:color="auto" w:sz="4" w:space="0"/>
              <w:bottom w:val="single" w:color="auto" w:sz="4" w:space="0"/>
              <w:right w:val="single" w:color="auto" w:sz="4" w:space="0"/>
            </w:tcBorders>
            <w:vAlign w:val="center"/>
          </w:tcPr>
          <w:p w14:paraId="527F107B">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时间：</w:t>
            </w:r>
            <w:r>
              <w:rPr>
                <w:rFonts w:hint="eastAsia" w:ascii="黑体" w:hAnsi="黑体" w:eastAsia="黑体" w:cs="黑体"/>
                <w:color w:val="000000"/>
                <w:sz w:val="21"/>
                <w:szCs w:val="21"/>
                <w:highlight w:val="none"/>
                <w:lang w:val="en-US" w:eastAsia="zh-CN"/>
              </w:rPr>
              <w:t>24</w:t>
            </w:r>
            <w:r>
              <w:rPr>
                <w:rFonts w:hint="eastAsia" w:ascii="黑体" w:hAnsi="黑体" w:eastAsia="黑体" w:cs="黑体"/>
                <w:color w:val="000000"/>
                <w:sz w:val="21"/>
                <w:szCs w:val="21"/>
                <w:highlight w:val="none"/>
              </w:rPr>
              <w:t>小时内</w:t>
            </w:r>
          </w:p>
          <w:p w14:paraId="01220681">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形式：出具回执</w:t>
            </w:r>
          </w:p>
        </w:tc>
      </w:tr>
      <w:tr w14:paraId="19FAE981">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31C8874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2.3.1</w:t>
            </w:r>
          </w:p>
        </w:tc>
        <w:tc>
          <w:tcPr>
            <w:tcW w:w="2128" w:type="dxa"/>
            <w:tcBorders>
              <w:top w:val="single" w:color="auto" w:sz="4" w:space="0"/>
              <w:left w:val="single" w:color="auto" w:sz="4" w:space="0"/>
              <w:bottom w:val="single" w:color="auto" w:sz="4" w:space="0"/>
              <w:right w:val="single" w:color="auto" w:sz="4" w:space="0"/>
            </w:tcBorders>
            <w:vAlign w:val="center"/>
          </w:tcPr>
          <w:p w14:paraId="14EA7856">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修改发出的形式</w:t>
            </w:r>
          </w:p>
        </w:tc>
        <w:tc>
          <w:tcPr>
            <w:tcW w:w="5493" w:type="dxa"/>
            <w:tcBorders>
              <w:top w:val="single" w:color="auto" w:sz="4" w:space="0"/>
              <w:left w:val="single" w:color="auto" w:sz="4" w:space="0"/>
              <w:bottom w:val="single" w:color="auto" w:sz="4" w:space="0"/>
              <w:right w:val="single" w:color="auto" w:sz="4" w:space="0"/>
            </w:tcBorders>
            <w:vAlign w:val="center"/>
          </w:tcPr>
          <w:p w14:paraId="739D95A5">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网络公示或邮件发送</w:t>
            </w:r>
          </w:p>
        </w:tc>
      </w:tr>
      <w:tr w14:paraId="120C2F36">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1EFA4BEB">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2.3.2</w:t>
            </w:r>
          </w:p>
        </w:tc>
        <w:tc>
          <w:tcPr>
            <w:tcW w:w="2128" w:type="dxa"/>
            <w:tcBorders>
              <w:top w:val="single" w:color="auto" w:sz="4" w:space="0"/>
              <w:left w:val="single" w:color="auto" w:sz="4" w:space="0"/>
              <w:bottom w:val="single" w:color="auto" w:sz="4" w:space="0"/>
              <w:right w:val="single" w:color="auto" w:sz="4" w:space="0"/>
            </w:tcBorders>
            <w:vAlign w:val="center"/>
          </w:tcPr>
          <w:p w14:paraId="5F1AD92B">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确认收到</w:t>
            </w:r>
            <w:r>
              <w:rPr>
                <w:rFonts w:hint="eastAsia" w:ascii="黑体" w:hAnsi="黑体" w:eastAsia="黑体" w:cs="黑体"/>
                <w:color w:val="000000"/>
                <w:sz w:val="21"/>
                <w:szCs w:val="21"/>
                <w:highlight w:val="none"/>
                <w:lang w:eastAsia="zh-CN"/>
              </w:rPr>
              <w:t>竞争性磋商文件</w:t>
            </w:r>
            <w:r>
              <w:rPr>
                <w:rFonts w:hint="eastAsia" w:ascii="黑体" w:hAnsi="黑体" w:eastAsia="黑体" w:cs="黑体"/>
                <w:color w:val="000000"/>
                <w:sz w:val="21"/>
                <w:szCs w:val="21"/>
                <w:highlight w:val="none"/>
              </w:rPr>
              <w:t>修改</w:t>
            </w:r>
          </w:p>
        </w:tc>
        <w:tc>
          <w:tcPr>
            <w:tcW w:w="5493" w:type="dxa"/>
            <w:tcBorders>
              <w:top w:val="single" w:color="auto" w:sz="4" w:space="0"/>
              <w:left w:val="single" w:color="auto" w:sz="4" w:space="0"/>
              <w:bottom w:val="single" w:color="auto" w:sz="4" w:space="0"/>
              <w:right w:val="single" w:color="auto" w:sz="4" w:space="0"/>
            </w:tcBorders>
            <w:vAlign w:val="center"/>
          </w:tcPr>
          <w:p w14:paraId="2EF0D34A">
            <w:pPr>
              <w:spacing w:line="440" w:lineRule="exact"/>
              <w:jc w:val="left"/>
              <w:rPr>
                <w:rFonts w:hint="eastAsia" w:ascii="黑体" w:hAnsi="黑体" w:eastAsia="黑体" w:cs="黑体"/>
                <w:color w:val="000000"/>
                <w:sz w:val="21"/>
                <w:szCs w:val="21"/>
                <w:highlight w:val="none"/>
              </w:rPr>
            </w:pPr>
            <w:r>
              <w:rPr>
                <w:rFonts w:hint="eastAsia" w:ascii="黑体" w:hAnsi="黑体" w:eastAsia="黑体" w:cs="黑体"/>
                <w:color w:val="000000"/>
                <w:sz w:val="21"/>
                <w:szCs w:val="21"/>
                <w:highlight w:val="none"/>
              </w:rPr>
              <w:t>时间：</w:t>
            </w:r>
            <w:r>
              <w:rPr>
                <w:rFonts w:hint="eastAsia" w:ascii="黑体" w:hAnsi="黑体" w:eastAsia="黑体" w:cs="黑体"/>
                <w:color w:val="000000"/>
                <w:sz w:val="21"/>
                <w:szCs w:val="21"/>
                <w:highlight w:val="none"/>
                <w:lang w:val="en-US" w:eastAsia="zh-CN"/>
              </w:rPr>
              <w:t>24</w:t>
            </w:r>
            <w:r>
              <w:rPr>
                <w:rFonts w:hint="eastAsia" w:ascii="黑体" w:hAnsi="黑体" w:eastAsia="黑体" w:cs="黑体"/>
                <w:color w:val="000000"/>
                <w:sz w:val="21"/>
                <w:szCs w:val="21"/>
                <w:highlight w:val="none"/>
              </w:rPr>
              <w:t>小时内</w:t>
            </w:r>
          </w:p>
          <w:p w14:paraId="3E2260E6">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形式：出具回执</w:t>
            </w:r>
          </w:p>
        </w:tc>
      </w:tr>
      <w:tr w14:paraId="4160732F">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7783E90B">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3.1.1</w:t>
            </w:r>
          </w:p>
        </w:tc>
        <w:tc>
          <w:tcPr>
            <w:tcW w:w="2128" w:type="dxa"/>
            <w:tcBorders>
              <w:top w:val="single" w:color="auto" w:sz="4" w:space="0"/>
              <w:left w:val="single" w:color="auto" w:sz="4" w:space="0"/>
              <w:bottom w:val="single" w:color="auto" w:sz="4" w:space="0"/>
              <w:right w:val="single" w:color="auto" w:sz="4" w:space="0"/>
            </w:tcBorders>
            <w:vAlign w:val="center"/>
          </w:tcPr>
          <w:p w14:paraId="02848B44">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构成</w:t>
            </w:r>
            <w:r>
              <w:rPr>
                <w:rFonts w:hint="eastAsia" w:ascii="黑体" w:hAnsi="黑体" w:eastAsia="黑体" w:cs="黑体"/>
                <w:color w:val="000000"/>
                <w:sz w:val="21"/>
                <w:szCs w:val="21"/>
                <w:highlight w:val="none"/>
                <w:lang w:eastAsia="zh-CN"/>
              </w:rPr>
              <w:t>投标文件</w:t>
            </w:r>
            <w:r>
              <w:rPr>
                <w:rFonts w:hint="eastAsia" w:ascii="黑体" w:hAnsi="黑体" w:eastAsia="黑体" w:cs="黑体"/>
                <w:color w:val="000000"/>
                <w:sz w:val="21"/>
                <w:szCs w:val="21"/>
                <w:highlight w:val="none"/>
              </w:rPr>
              <w:t>的其他资料</w:t>
            </w:r>
          </w:p>
        </w:tc>
        <w:tc>
          <w:tcPr>
            <w:tcW w:w="5493" w:type="dxa"/>
            <w:tcBorders>
              <w:top w:val="single" w:color="auto" w:sz="4" w:space="0"/>
              <w:left w:val="single" w:color="auto" w:sz="4" w:space="0"/>
              <w:bottom w:val="single" w:color="auto" w:sz="4" w:space="0"/>
              <w:right w:val="single" w:color="auto" w:sz="4" w:space="0"/>
            </w:tcBorders>
            <w:vAlign w:val="center"/>
          </w:tcPr>
          <w:p w14:paraId="6D2BD098">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认为有必要提供的其他资料</w:t>
            </w:r>
          </w:p>
        </w:tc>
      </w:tr>
      <w:tr w14:paraId="3A12BE0A">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45A45C87">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3.2.3</w:t>
            </w:r>
          </w:p>
        </w:tc>
        <w:tc>
          <w:tcPr>
            <w:tcW w:w="2128" w:type="dxa"/>
            <w:tcBorders>
              <w:top w:val="single" w:color="auto" w:sz="4" w:space="0"/>
              <w:left w:val="single" w:color="auto" w:sz="4" w:space="0"/>
              <w:bottom w:val="single" w:color="auto" w:sz="4" w:space="0"/>
              <w:right w:val="single" w:color="auto" w:sz="4" w:space="0"/>
            </w:tcBorders>
            <w:vAlign w:val="center"/>
          </w:tcPr>
          <w:p w14:paraId="066BA557">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报价方式</w:t>
            </w:r>
          </w:p>
        </w:tc>
        <w:tc>
          <w:tcPr>
            <w:tcW w:w="5493" w:type="dxa"/>
            <w:tcBorders>
              <w:top w:val="single" w:color="auto" w:sz="4" w:space="0"/>
              <w:left w:val="single" w:color="auto" w:sz="4" w:space="0"/>
              <w:bottom w:val="single" w:color="auto" w:sz="4" w:space="0"/>
              <w:right w:val="single" w:color="auto" w:sz="4" w:space="0"/>
            </w:tcBorders>
            <w:vAlign w:val="center"/>
          </w:tcPr>
          <w:p w14:paraId="4D8CE8DC">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总价报价</w:t>
            </w:r>
          </w:p>
        </w:tc>
      </w:tr>
      <w:tr w14:paraId="6DB47E4B">
        <w:tblPrEx>
          <w:tblCellMar>
            <w:top w:w="0" w:type="dxa"/>
            <w:left w:w="108" w:type="dxa"/>
            <w:bottom w:w="0" w:type="dxa"/>
            <w:right w:w="108" w:type="dxa"/>
          </w:tblCellMar>
        </w:tblPrEx>
        <w:trPr>
          <w:trHeight w:val="2497" w:hRule="atLeast"/>
        </w:trPr>
        <w:tc>
          <w:tcPr>
            <w:tcW w:w="918" w:type="dxa"/>
            <w:tcBorders>
              <w:top w:val="single" w:color="auto" w:sz="4" w:space="0"/>
              <w:left w:val="single" w:color="auto" w:sz="4" w:space="0"/>
              <w:bottom w:val="single" w:color="auto" w:sz="4" w:space="0"/>
              <w:right w:val="single" w:color="auto" w:sz="4" w:space="0"/>
            </w:tcBorders>
            <w:vAlign w:val="center"/>
          </w:tcPr>
          <w:p w14:paraId="3534880C">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3.2.4</w:t>
            </w:r>
          </w:p>
        </w:tc>
        <w:tc>
          <w:tcPr>
            <w:tcW w:w="2128" w:type="dxa"/>
            <w:tcBorders>
              <w:top w:val="single" w:color="auto" w:sz="4" w:space="0"/>
              <w:left w:val="single" w:color="auto" w:sz="4" w:space="0"/>
              <w:bottom w:val="single" w:color="auto" w:sz="4" w:space="0"/>
              <w:right w:val="single" w:color="auto" w:sz="4" w:space="0"/>
            </w:tcBorders>
            <w:vAlign w:val="center"/>
          </w:tcPr>
          <w:p w14:paraId="2DE3916F">
            <w:pPr>
              <w:spacing w:line="440" w:lineRule="exact"/>
              <w:jc w:val="center"/>
              <w:rPr>
                <w:rFonts w:hint="default" w:ascii="黑体" w:hAnsi="黑体" w:eastAsia="黑体" w:cs="黑体"/>
                <w:b/>
                <w:bCs/>
                <w:color w:val="auto"/>
                <w:kern w:val="0"/>
                <w:sz w:val="22"/>
                <w:szCs w:val="22"/>
                <w:lang w:val="en-US" w:eastAsia="zh-CN" w:bidi="ar-SA"/>
              </w:rPr>
            </w:pPr>
            <w:r>
              <w:rPr>
                <w:rFonts w:hint="eastAsia" w:ascii="黑体" w:hAnsi="黑体" w:eastAsia="黑体" w:cs="黑体"/>
                <w:b/>
                <w:bCs/>
                <w:color w:val="auto"/>
                <w:kern w:val="0"/>
                <w:sz w:val="22"/>
                <w:szCs w:val="22"/>
                <w:lang w:val="en-US" w:eastAsia="zh-CN" w:bidi="ar-SA"/>
              </w:rPr>
              <w:t>最高限价</w:t>
            </w:r>
          </w:p>
        </w:tc>
        <w:tc>
          <w:tcPr>
            <w:tcW w:w="5493" w:type="dxa"/>
            <w:tcBorders>
              <w:top w:val="single" w:color="auto" w:sz="4" w:space="0"/>
              <w:left w:val="single" w:color="auto" w:sz="4" w:space="0"/>
              <w:bottom w:val="single" w:color="auto" w:sz="4" w:space="0"/>
              <w:right w:val="single" w:color="auto" w:sz="4" w:space="0"/>
            </w:tcBorders>
            <w:vAlign w:val="center"/>
          </w:tcPr>
          <w:p w14:paraId="56A21C89">
            <w:pPr>
              <w:spacing w:line="440" w:lineRule="exact"/>
              <w:jc w:val="left"/>
              <w:rPr>
                <w:rFonts w:hint="eastAsia" w:ascii="黑体" w:hAnsi="黑体" w:eastAsia="黑体" w:cs="黑体"/>
                <w:b/>
                <w:bCs/>
                <w:color w:val="auto"/>
                <w:kern w:val="0"/>
                <w:sz w:val="22"/>
                <w:szCs w:val="22"/>
                <w:lang w:val="en-US" w:eastAsia="zh-CN" w:bidi="ar-SA"/>
              </w:rPr>
            </w:pPr>
            <w:r>
              <w:rPr>
                <w:rFonts w:hint="eastAsia" w:ascii="黑体" w:hAnsi="黑体" w:eastAsia="黑体" w:cs="黑体"/>
                <w:b/>
                <w:bCs/>
                <w:color w:val="auto"/>
                <w:kern w:val="0"/>
                <w:sz w:val="22"/>
                <w:szCs w:val="22"/>
                <w:lang w:val="en-US" w:eastAsia="zh-CN" w:bidi="ar-SA"/>
              </w:rPr>
              <w:t>本项目最高限价为450000元，其中气相色谱仪最高限价为265000元，库仑法卡尔费休水份仪最高限价为160000元，便携式水质色度仪最高限价为15000元，煤中碳酸盐二氧化碳含量测定仪最高限价为10000元。</w:t>
            </w:r>
          </w:p>
          <w:p w14:paraId="29F3A451">
            <w:pPr>
              <w:spacing w:line="440" w:lineRule="exact"/>
              <w:jc w:val="left"/>
              <w:rPr>
                <w:rFonts w:hint="eastAsia" w:ascii="黑体" w:hAnsi="黑体" w:eastAsia="黑体" w:cs="黑体"/>
                <w:b/>
                <w:bCs/>
                <w:color w:val="auto"/>
                <w:kern w:val="0"/>
                <w:sz w:val="22"/>
                <w:szCs w:val="22"/>
                <w:lang w:val="en-US" w:eastAsia="zh-CN" w:bidi="ar-SA"/>
              </w:rPr>
            </w:pPr>
            <w:r>
              <w:rPr>
                <w:rFonts w:hint="eastAsia" w:ascii="黑体" w:hAnsi="黑体" w:eastAsia="黑体" w:cs="黑体"/>
                <w:b/>
                <w:bCs/>
                <w:color w:val="auto"/>
                <w:kern w:val="0"/>
                <w:sz w:val="22"/>
                <w:szCs w:val="22"/>
                <w:lang w:val="en-US" w:eastAsia="zh-CN" w:bidi="ar-SA"/>
              </w:rPr>
              <w:t>投标报价不得超过此最高限价，超过按否决投标处理。</w:t>
            </w:r>
          </w:p>
        </w:tc>
      </w:tr>
      <w:tr w14:paraId="44EC1C8D">
        <w:tblPrEx>
          <w:tblCellMar>
            <w:top w:w="0" w:type="dxa"/>
            <w:left w:w="108" w:type="dxa"/>
            <w:bottom w:w="0" w:type="dxa"/>
            <w:right w:w="108" w:type="dxa"/>
          </w:tblCellMar>
        </w:tblPrEx>
        <w:trPr>
          <w:trHeight w:val="662" w:hRule="atLeast"/>
        </w:trPr>
        <w:tc>
          <w:tcPr>
            <w:tcW w:w="918" w:type="dxa"/>
            <w:tcBorders>
              <w:top w:val="single" w:color="auto" w:sz="4" w:space="0"/>
              <w:left w:val="single" w:color="auto" w:sz="4" w:space="0"/>
              <w:bottom w:val="single" w:color="auto" w:sz="4" w:space="0"/>
              <w:right w:val="single" w:color="auto" w:sz="4" w:space="0"/>
            </w:tcBorders>
            <w:vAlign w:val="center"/>
          </w:tcPr>
          <w:p w14:paraId="0F981BC6">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cs="黑体"/>
                <w:color w:val="000000"/>
                <w:sz w:val="21"/>
                <w:szCs w:val="21"/>
                <w:highlight w:val="none"/>
                <w:lang w:val="en-US" w:eastAsia="zh-CN"/>
              </w:rPr>
              <w:t>3.2.5</w:t>
            </w:r>
          </w:p>
        </w:tc>
        <w:tc>
          <w:tcPr>
            <w:tcW w:w="2128" w:type="dxa"/>
            <w:tcBorders>
              <w:top w:val="single" w:color="auto" w:sz="4" w:space="0"/>
              <w:left w:val="single" w:color="auto" w:sz="4" w:space="0"/>
              <w:bottom w:val="single" w:color="auto" w:sz="4" w:space="0"/>
              <w:right w:val="single" w:color="auto" w:sz="4" w:space="0"/>
            </w:tcBorders>
            <w:vAlign w:val="center"/>
          </w:tcPr>
          <w:p w14:paraId="6A943C02">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付款方式</w:t>
            </w:r>
          </w:p>
        </w:tc>
        <w:tc>
          <w:tcPr>
            <w:tcW w:w="5493" w:type="dxa"/>
            <w:tcBorders>
              <w:top w:val="single" w:color="auto" w:sz="4" w:space="0"/>
              <w:left w:val="single" w:color="auto" w:sz="4" w:space="0"/>
              <w:bottom w:val="single" w:color="auto" w:sz="4" w:space="0"/>
              <w:right w:val="single" w:color="auto" w:sz="4" w:space="0"/>
            </w:tcBorders>
            <w:vAlign w:val="center"/>
          </w:tcPr>
          <w:p w14:paraId="3B94B496">
            <w:pPr>
              <w:spacing w:line="480" w:lineRule="auto"/>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合同中另行约定</w:t>
            </w:r>
          </w:p>
        </w:tc>
      </w:tr>
      <w:tr w14:paraId="5316F258">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43DE67EB">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3.2.5</w:t>
            </w:r>
          </w:p>
        </w:tc>
        <w:tc>
          <w:tcPr>
            <w:tcW w:w="2128" w:type="dxa"/>
            <w:tcBorders>
              <w:top w:val="single" w:color="auto" w:sz="4" w:space="0"/>
              <w:left w:val="single" w:color="auto" w:sz="4" w:space="0"/>
              <w:bottom w:val="single" w:color="auto" w:sz="4" w:space="0"/>
              <w:right w:val="single" w:color="auto" w:sz="4" w:space="0"/>
            </w:tcBorders>
            <w:vAlign w:val="center"/>
          </w:tcPr>
          <w:p w14:paraId="2EB63CA5">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投标报价的其他要求</w:t>
            </w:r>
          </w:p>
        </w:tc>
        <w:tc>
          <w:tcPr>
            <w:tcW w:w="5493" w:type="dxa"/>
            <w:tcBorders>
              <w:top w:val="single" w:color="auto" w:sz="4" w:space="0"/>
              <w:left w:val="single" w:color="auto" w:sz="4" w:space="0"/>
              <w:bottom w:val="single" w:color="auto" w:sz="4" w:space="0"/>
              <w:right w:val="single" w:color="auto" w:sz="4" w:space="0"/>
            </w:tcBorders>
            <w:vAlign w:val="center"/>
          </w:tcPr>
          <w:p w14:paraId="7C39018B">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无</w:t>
            </w:r>
          </w:p>
        </w:tc>
      </w:tr>
      <w:tr w14:paraId="0937FB53">
        <w:tblPrEx>
          <w:tblCellMar>
            <w:top w:w="0" w:type="dxa"/>
            <w:left w:w="108" w:type="dxa"/>
            <w:bottom w:w="0" w:type="dxa"/>
            <w:right w:w="108" w:type="dxa"/>
          </w:tblCellMar>
        </w:tblPrEx>
        <w:trPr>
          <w:trHeight w:val="496" w:hRule="atLeast"/>
        </w:trPr>
        <w:tc>
          <w:tcPr>
            <w:tcW w:w="918" w:type="dxa"/>
            <w:tcBorders>
              <w:top w:val="single" w:color="auto" w:sz="4" w:space="0"/>
              <w:left w:val="single" w:color="auto" w:sz="4" w:space="0"/>
              <w:bottom w:val="single" w:color="auto" w:sz="4" w:space="0"/>
              <w:right w:val="single" w:color="auto" w:sz="4" w:space="0"/>
            </w:tcBorders>
            <w:vAlign w:val="center"/>
          </w:tcPr>
          <w:p w14:paraId="76883F3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3.3.1</w:t>
            </w:r>
          </w:p>
        </w:tc>
        <w:tc>
          <w:tcPr>
            <w:tcW w:w="2128" w:type="dxa"/>
            <w:tcBorders>
              <w:top w:val="single" w:color="auto" w:sz="4" w:space="0"/>
              <w:left w:val="single" w:color="auto" w:sz="4" w:space="0"/>
              <w:bottom w:val="single" w:color="auto" w:sz="4" w:space="0"/>
              <w:right w:val="single" w:color="auto" w:sz="4" w:space="0"/>
            </w:tcBorders>
            <w:vAlign w:val="center"/>
          </w:tcPr>
          <w:p w14:paraId="46B82AD8">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投标有效期</w:t>
            </w:r>
          </w:p>
        </w:tc>
        <w:tc>
          <w:tcPr>
            <w:tcW w:w="5493" w:type="dxa"/>
            <w:tcBorders>
              <w:top w:val="single" w:color="auto" w:sz="4" w:space="0"/>
              <w:left w:val="single" w:color="auto" w:sz="4" w:space="0"/>
              <w:bottom w:val="single" w:color="auto" w:sz="4" w:space="0"/>
              <w:right w:val="single" w:color="auto" w:sz="4" w:space="0"/>
            </w:tcBorders>
            <w:vAlign w:val="center"/>
          </w:tcPr>
          <w:p w14:paraId="26F0A0A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自提交响应文件截止之日起计算90日历天</w:t>
            </w:r>
          </w:p>
        </w:tc>
      </w:tr>
      <w:tr w14:paraId="3102817E">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687163C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3.4.1</w:t>
            </w:r>
          </w:p>
        </w:tc>
        <w:tc>
          <w:tcPr>
            <w:tcW w:w="2128" w:type="dxa"/>
            <w:tcBorders>
              <w:top w:val="single" w:color="auto" w:sz="4" w:space="0"/>
              <w:left w:val="single" w:color="auto" w:sz="4" w:space="0"/>
              <w:bottom w:val="single" w:color="auto" w:sz="4" w:space="0"/>
              <w:right w:val="single" w:color="auto" w:sz="4" w:space="0"/>
            </w:tcBorders>
            <w:vAlign w:val="center"/>
          </w:tcPr>
          <w:p w14:paraId="7C52EBD3">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是否要求</w:t>
            </w: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递交投标保证金</w:t>
            </w:r>
          </w:p>
        </w:tc>
        <w:tc>
          <w:tcPr>
            <w:tcW w:w="5493" w:type="dxa"/>
            <w:tcBorders>
              <w:top w:val="single" w:color="auto" w:sz="4" w:space="0"/>
              <w:left w:val="single" w:color="auto" w:sz="4" w:space="0"/>
              <w:bottom w:val="single" w:color="auto" w:sz="4" w:space="0"/>
              <w:right w:val="single" w:color="auto" w:sz="4" w:space="0"/>
            </w:tcBorders>
            <w:vAlign w:val="center"/>
          </w:tcPr>
          <w:p w14:paraId="4857D90E">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不要求</w:t>
            </w:r>
          </w:p>
        </w:tc>
      </w:tr>
      <w:tr w14:paraId="751156D2">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5FF46DDA">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 xml:space="preserve">3.4.4 </w:t>
            </w:r>
          </w:p>
        </w:tc>
        <w:tc>
          <w:tcPr>
            <w:tcW w:w="2128" w:type="dxa"/>
            <w:tcBorders>
              <w:top w:val="single" w:color="auto" w:sz="4" w:space="0"/>
              <w:left w:val="single" w:color="auto" w:sz="4" w:space="0"/>
              <w:bottom w:val="single" w:color="auto" w:sz="4" w:space="0"/>
              <w:right w:val="single" w:color="auto" w:sz="4" w:space="0"/>
            </w:tcBorders>
            <w:vAlign w:val="center"/>
          </w:tcPr>
          <w:p w14:paraId="387FEC7B">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其他可以不予退还投标保证金的情形</w:t>
            </w:r>
          </w:p>
        </w:tc>
        <w:tc>
          <w:tcPr>
            <w:tcW w:w="5493" w:type="dxa"/>
            <w:tcBorders>
              <w:top w:val="single" w:color="auto" w:sz="4" w:space="0"/>
              <w:left w:val="single" w:color="auto" w:sz="4" w:space="0"/>
              <w:bottom w:val="single" w:color="auto" w:sz="4" w:space="0"/>
              <w:right w:val="single" w:color="auto" w:sz="4" w:space="0"/>
            </w:tcBorders>
            <w:vAlign w:val="center"/>
          </w:tcPr>
          <w:p w14:paraId="50E708CA">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无</w:t>
            </w:r>
          </w:p>
        </w:tc>
      </w:tr>
      <w:tr w14:paraId="57230F2B">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48C0346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3.5.2</w:t>
            </w:r>
          </w:p>
        </w:tc>
        <w:tc>
          <w:tcPr>
            <w:tcW w:w="2128" w:type="dxa"/>
            <w:tcBorders>
              <w:top w:val="single" w:color="auto" w:sz="4" w:space="0"/>
              <w:left w:val="single" w:color="auto" w:sz="4" w:space="0"/>
              <w:bottom w:val="single" w:color="auto" w:sz="4" w:space="0"/>
              <w:right w:val="single" w:color="auto" w:sz="4" w:space="0"/>
            </w:tcBorders>
            <w:vAlign w:val="center"/>
          </w:tcPr>
          <w:p w14:paraId="383218D7">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近年财务状况</w:t>
            </w:r>
          </w:p>
        </w:tc>
        <w:tc>
          <w:tcPr>
            <w:tcW w:w="5493" w:type="dxa"/>
            <w:tcBorders>
              <w:top w:val="single" w:color="auto" w:sz="4" w:space="0"/>
              <w:left w:val="single" w:color="auto" w:sz="4" w:space="0"/>
              <w:bottom w:val="single" w:color="auto" w:sz="4" w:space="0"/>
              <w:right w:val="single" w:color="auto" w:sz="4" w:space="0"/>
            </w:tcBorders>
            <w:vAlign w:val="center"/>
          </w:tcPr>
          <w:p w14:paraId="129D9A3E">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2022年-2024年</w:t>
            </w:r>
          </w:p>
        </w:tc>
      </w:tr>
      <w:tr w14:paraId="4B07697D">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4F8F31C8">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3.5.3</w:t>
            </w:r>
          </w:p>
        </w:tc>
        <w:tc>
          <w:tcPr>
            <w:tcW w:w="2128" w:type="dxa"/>
            <w:tcBorders>
              <w:top w:val="single" w:color="auto" w:sz="4" w:space="0"/>
              <w:left w:val="single" w:color="auto" w:sz="4" w:space="0"/>
              <w:bottom w:val="single" w:color="auto" w:sz="4" w:space="0"/>
              <w:right w:val="single" w:color="auto" w:sz="4" w:space="0"/>
            </w:tcBorders>
            <w:vAlign w:val="center"/>
          </w:tcPr>
          <w:p w14:paraId="4E3F6772">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近年完成的类似项目情况的时间要求</w:t>
            </w:r>
          </w:p>
        </w:tc>
        <w:tc>
          <w:tcPr>
            <w:tcW w:w="5493" w:type="dxa"/>
            <w:tcBorders>
              <w:top w:val="single" w:color="auto" w:sz="4" w:space="0"/>
              <w:left w:val="single" w:color="auto" w:sz="4" w:space="0"/>
              <w:bottom w:val="single" w:color="auto" w:sz="4" w:space="0"/>
              <w:right w:val="single" w:color="auto" w:sz="4" w:space="0"/>
            </w:tcBorders>
            <w:vAlign w:val="center"/>
          </w:tcPr>
          <w:p w14:paraId="62F9F6A6">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2022</w:t>
            </w:r>
            <w:r>
              <w:rPr>
                <w:rFonts w:hint="eastAsia" w:ascii="黑体" w:hAnsi="黑体" w:eastAsia="黑体" w:cs="黑体"/>
                <w:color w:val="000000"/>
                <w:sz w:val="21"/>
                <w:szCs w:val="21"/>
                <w:highlight w:val="none"/>
              </w:rPr>
              <w:t>年</w:t>
            </w:r>
            <w:r>
              <w:rPr>
                <w:rFonts w:hint="eastAsia" w:ascii="黑体" w:hAnsi="黑体" w:eastAsia="黑体" w:cs="黑体"/>
                <w:color w:val="000000"/>
                <w:sz w:val="21"/>
                <w:szCs w:val="21"/>
                <w:highlight w:val="none"/>
                <w:lang w:val="en-US" w:eastAsia="zh-CN"/>
              </w:rPr>
              <w:t>01</w:t>
            </w:r>
            <w:r>
              <w:rPr>
                <w:rFonts w:hint="eastAsia" w:ascii="黑体" w:hAnsi="黑体" w:eastAsia="黑体" w:cs="黑体"/>
                <w:color w:val="000000"/>
                <w:sz w:val="21"/>
                <w:szCs w:val="21"/>
                <w:highlight w:val="none"/>
              </w:rPr>
              <w:t>月01日至今</w:t>
            </w:r>
          </w:p>
        </w:tc>
      </w:tr>
      <w:tr w14:paraId="4708BC98">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4AC35DCF">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3.5.5</w:t>
            </w:r>
          </w:p>
        </w:tc>
        <w:tc>
          <w:tcPr>
            <w:tcW w:w="2128" w:type="dxa"/>
            <w:tcBorders>
              <w:top w:val="single" w:color="auto" w:sz="4" w:space="0"/>
              <w:left w:val="single" w:color="auto" w:sz="4" w:space="0"/>
              <w:bottom w:val="single" w:color="auto" w:sz="4" w:space="0"/>
              <w:right w:val="single" w:color="auto" w:sz="4" w:space="0"/>
            </w:tcBorders>
            <w:vAlign w:val="center"/>
          </w:tcPr>
          <w:p w14:paraId="680555A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近年发生的诉讼及仲裁情况的时间要求</w:t>
            </w:r>
          </w:p>
        </w:tc>
        <w:tc>
          <w:tcPr>
            <w:tcW w:w="5493" w:type="dxa"/>
            <w:tcBorders>
              <w:top w:val="single" w:color="auto" w:sz="4" w:space="0"/>
              <w:left w:val="single" w:color="auto" w:sz="4" w:space="0"/>
              <w:bottom w:val="single" w:color="auto" w:sz="4" w:space="0"/>
              <w:right w:val="single" w:color="auto" w:sz="4" w:space="0"/>
            </w:tcBorders>
            <w:vAlign w:val="center"/>
          </w:tcPr>
          <w:p w14:paraId="25A1B388">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2022</w:t>
            </w:r>
            <w:r>
              <w:rPr>
                <w:rFonts w:hint="eastAsia" w:ascii="黑体" w:hAnsi="黑体" w:eastAsia="黑体" w:cs="黑体"/>
                <w:color w:val="000000"/>
                <w:sz w:val="21"/>
                <w:szCs w:val="21"/>
                <w:highlight w:val="none"/>
              </w:rPr>
              <w:t>年</w:t>
            </w:r>
            <w:r>
              <w:rPr>
                <w:rFonts w:hint="eastAsia" w:ascii="黑体" w:hAnsi="黑体" w:eastAsia="黑体" w:cs="黑体"/>
                <w:color w:val="000000"/>
                <w:sz w:val="21"/>
                <w:szCs w:val="21"/>
                <w:highlight w:val="none"/>
                <w:lang w:val="en-US" w:eastAsia="zh-CN"/>
              </w:rPr>
              <w:t>01</w:t>
            </w:r>
            <w:r>
              <w:rPr>
                <w:rFonts w:hint="eastAsia" w:ascii="黑体" w:hAnsi="黑体" w:eastAsia="黑体" w:cs="黑体"/>
                <w:color w:val="000000"/>
                <w:sz w:val="21"/>
                <w:szCs w:val="21"/>
                <w:highlight w:val="none"/>
              </w:rPr>
              <w:t>月01日至今</w:t>
            </w:r>
          </w:p>
        </w:tc>
      </w:tr>
      <w:tr w14:paraId="72F9222B">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51597213">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3.6.1</w:t>
            </w:r>
          </w:p>
        </w:tc>
        <w:tc>
          <w:tcPr>
            <w:tcW w:w="2128" w:type="dxa"/>
            <w:tcBorders>
              <w:top w:val="single" w:color="auto" w:sz="4" w:space="0"/>
              <w:left w:val="single" w:color="auto" w:sz="4" w:space="0"/>
              <w:bottom w:val="single" w:color="auto" w:sz="4" w:space="0"/>
              <w:right w:val="single" w:color="auto" w:sz="4" w:space="0"/>
            </w:tcBorders>
            <w:vAlign w:val="center"/>
          </w:tcPr>
          <w:p w14:paraId="7880EB46">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是否允许递交备选</w:t>
            </w:r>
            <w:r>
              <w:rPr>
                <w:rFonts w:hint="eastAsia" w:ascii="黑体" w:hAnsi="黑体" w:eastAsia="黑体" w:cs="黑体"/>
                <w:color w:val="000000"/>
                <w:sz w:val="21"/>
                <w:szCs w:val="21"/>
                <w:highlight w:val="none"/>
                <w:lang w:eastAsia="zh-CN"/>
              </w:rPr>
              <w:t>投标方案</w:t>
            </w:r>
          </w:p>
        </w:tc>
        <w:tc>
          <w:tcPr>
            <w:tcW w:w="5493" w:type="dxa"/>
            <w:tcBorders>
              <w:top w:val="single" w:color="auto" w:sz="4" w:space="0"/>
              <w:left w:val="single" w:color="auto" w:sz="4" w:space="0"/>
              <w:bottom w:val="single" w:color="auto" w:sz="4" w:space="0"/>
              <w:right w:val="single" w:color="auto" w:sz="4" w:space="0"/>
            </w:tcBorders>
            <w:vAlign w:val="center"/>
          </w:tcPr>
          <w:p w14:paraId="3664CB6F">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不允许</w:t>
            </w:r>
          </w:p>
        </w:tc>
      </w:tr>
      <w:tr w14:paraId="62B009A3">
        <w:tblPrEx>
          <w:tblCellMar>
            <w:top w:w="0" w:type="dxa"/>
            <w:left w:w="108" w:type="dxa"/>
            <w:bottom w:w="0" w:type="dxa"/>
            <w:right w:w="108" w:type="dxa"/>
          </w:tblCellMar>
        </w:tblPrEx>
        <w:trPr>
          <w:trHeight w:val="983" w:hRule="atLeast"/>
        </w:trPr>
        <w:tc>
          <w:tcPr>
            <w:tcW w:w="918" w:type="dxa"/>
            <w:tcBorders>
              <w:top w:val="single" w:color="auto" w:sz="4" w:space="0"/>
              <w:left w:val="single" w:color="auto" w:sz="4" w:space="0"/>
              <w:bottom w:val="single" w:color="auto" w:sz="4" w:space="0"/>
              <w:right w:val="single" w:color="auto" w:sz="4" w:space="0"/>
            </w:tcBorders>
            <w:vAlign w:val="center"/>
          </w:tcPr>
          <w:p w14:paraId="395DC897">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3.7.3</w:t>
            </w:r>
          </w:p>
        </w:tc>
        <w:tc>
          <w:tcPr>
            <w:tcW w:w="2128" w:type="dxa"/>
            <w:tcBorders>
              <w:top w:val="single" w:color="auto" w:sz="4" w:space="0"/>
              <w:left w:val="single" w:color="auto" w:sz="4" w:space="0"/>
              <w:bottom w:val="single" w:color="auto" w:sz="4" w:space="0"/>
              <w:right w:val="single" w:color="auto" w:sz="4" w:space="0"/>
            </w:tcBorders>
            <w:vAlign w:val="center"/>
          </w:tcPr>
          <w:p w14:paraId="51640EED">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响应文件份数等</w:t>
            </w:r>
          </w:p>
          <w:p w14:paraId="6EF639F1">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要求</w:t>
            </w:r>
          </w:p>
        </w:tc>
        <w:tc>
          <w:tcPr>
            <w:tcW w:w="5493" w:type="dxa"/>
            <w:tcBorders>
              <w:top w:val="single" w:color="auto" w:sz="4" w:space="0"/>
              <w:left w:val="single" w:color="auto" w:sz="4" w:space="0"/>
              <w:bottom w:val="single" w:color="auto" w:sz="4" w:space="0"/>
              <w:right w:val="single" w:color="auto" w:sz="4" w:space="0"/>
            </w:tcBorders>
            <w:vAlign w:val="center"/>
          </w:tcPr>
          <w:p w14:paraId="108EB2BD">
            <w:pPr>
              <w:spacing w:line="360" w:lineRule="auto"/>
              <w:jc w:val="left"/>
              <w:rPr>
                <w:rFonts w:hint="eastAsia" w:ascii="黑体" w:hAnsi="黑体" w:eastAsia="黑体" w:cs="黑体"/>
                <w:highlight w:val="none"/>
                <w:lang w:val="en-US" w:eastAsia="zh-CN"/>
              </w:rPr>
            </w:pPr>
            <w:r>
              <w:rPr>
                <w:rFonts w:hint="eastAsia" w:ascii="黑体" w:hAnsi="黑体" w:eastAsia="黑体" w:cs="黑体"/>
                <w:highlight w:val="none"/>
                <w:lang w:val="en-US" w:eastAsia="zh-CN"/>
              </w:rPr>
              <w:t>1.响应文件：正本壹份，副本贰份；</w:t>
            </w:r>
          </w:p>
          <w:p w14:paraId="6F3A1083">
            <w:pPr>
              <w:spacing w:line="360" w:lineRule="auto"/>
              <w:jc w:val="left"/>
              <w:rPr>
                <w:rFonts w:hint="eastAsia"/>
                <w:lang w:val="en-US" w:eastAsia="zh-CN"/>
              </w:rPr>
            </w:pPr>
            <w:r>
              <w:rPr>
                <w:rFonts w:hint="eastAsia" w:ascii="黑体" w:hAnsi="黑体" w:eastAsia="黑体" w:cs="黑体"/>
                <w:highlight w:val="none"/>
                <w:lang w:val="en-US" w:eastAsia="zh-CN"/>
              </w:rPr>
              <w:t>2.电子版： 壹份， U盘存储；</w:t>
            </w:r>
          </w:p>
        </w:tc>
      </w:tr>
      <w:tr w14:paraId="0D66AEF1">
        <w:tblPrEx>
          <w:tblCellMar>
            <w:top w:w="0" w:type="dxa"/>
            <w:left w:w="108" w:type="dxa"/>
            <w:bottom w:w="0" w:type="dxa"/>
            <w:right w:w="108" w:type="dxa"/>
          </w:tblCellMar>
        </w:tblPrEx>
        <w:trPr>
          <w:trHeight w:val="1355" w:hRule="atLeast"/>
        </w:trPr>
        <w:tc>
          <w:tcPr>
            <w:tcW w:w="918" w:type="dxa"/>
            <w:tcBorders>
              <w:top w:val="single" w:color="auto" w:sz="4" w:space="0"/>
              <w:left w:val="single" w:color="auto" w:sz="4" w:space="0"/>
              <w:bottom w:val="single" w:color="auto" w:sz="4" w:space="0"/>
              <w:right w:val="single" w:color="auto" w:sz="4" w:space="0"/>
            </w:tcBorders>
            <w:vAlign w:val="center"/>
          </w:tcPr>
          <w:p w14:paraId="5ABE3B2A">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4.1.1</w:t>
            </w:r>
          </w:p>
        </w:tc>
        <w:tc>
          <w:tcPr>
            <w:tcW w:w="2128" w:type="dxa"/>
            <w:tcBorders>
              <w:top w:val="single" w:color="auto" w:sz="4" w:space="0"/>
              <w:left w:val="single" w:color="auto" w:sz="4" w:space="0"/>
              <w:bottom w:val="single" w:color="auto" w:sz="4" w:space="0"/>
              <w:right w:val="single" w:color="auto" w:sz="4" w:space="0"/>
            </w:tcBorders>
            <w:vAlign w:val="center"/>
          </w:tcPr>
          <w:p w14:paraId="14C8CD1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响应</w:t>
            </w:r>
            <w:r>
              <w:rPr>
                <w:rFonts w:hint="eastAsia" w:ascii="黑体" w:hAnsi="黑体" w:eastAsia="黑体" w:cs="黑体"/>
                <w:color w:val="000000"/>
                <w:sz w:val="21"/>
                <w:szCs w:val="21"/>
                <w:highlight w:val="none"/>
                <w:lang w:eastAsia="zh-CN"/>
              </w:rPr>
              <w:t>文件</w:t>
            </w:r>
            <w:r>
              <w:rPr>
                <w:rFonts w:hint="eastAsia" w:ascii="黑体" w:hAnsi="黑体" w:eastAsia="黑体" w:cs="黑体"/>
                <w:color w:val="000000"/>
                <w:sz w:val="21"/>
                <w:szCs w:val="21"/>
                <w:highlight w:val="none"/>
                <w:lang w:val="en-US" w:eastAsia="zh-CN"/>
              </w:rPr>
              <w:t>密封</w:t>
            </w:r>
            <w:r>
              <w:rPr>
                <w:rFonts w:hint="eastAsia" w:ascii="黑体" w:hAnsi="黑体" w:eastAsia="黑体" w:cs="黑体"/>
                <w:color w:val="000000"/>
                <w:sz w:val="21"/>
                <w:szCs w:val="21"/>
                <w:highlight w:val="none"/>
              </w:rPr>
              <w:t>要求</w:t>
            </w:r>
          </w:p>
        </w:tc>
        <w:tc>
          <w:tcPr>
            <w:tcW w:w="5493" w:type="dxa"/>
            <w:tcBorders>
              <w:top w:val="single" w:color="auto" w:sz="4" w:space="0"/>
              <w:left w:val="single" w:color="auto" w:sz="4" w:space="0"/>
              <w:bottom w:val="single" w:color="auto" w:sz="4" w:space="0"/>
              <w:right w:val="single" w:color="auto" w:sz="4" w:space="0"/>
            </w:tcBorders>
            <w:vAlign w:val="center"/>
          </w:tcPr>
          <w:p w14:paraId="57A6CD01">
            <w:pPr>
              <w:spacing w:line="440" w:lineRule="exact"/>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正本、副本左侧胶装，装订应牢固、不易拆散和换页，不得采用活页装订，可双面打印。</w:t>
            </w:r>
            <w:r>
              <w:rPr>
                <w:rFonts w:hint="eastAsia" w:ascii="黑体" w:hAnsi="黑体" w:eastAsia="黑体" w:cs="黑体"/>
                <w:color w:val="auto"/>
                <w:sz w:val="21"/>
                <w:szCs w:val="21"/>
                <w:highlight w:val="none"/>
                <w:lang w:val="en-US" w:eastAsia="zh-CN"/>
              </w:rPr>
              <w:t>投标</w:t>
            </w:r>
            <w:r>
              <w:rPr>
                <w:rFonts w:hint="eastAsia" w:ascii="黑体" w:hAnsi="黑体" w:eastAsia="黑体" w:cs="黑体"/>
                <w:color w:val="auto"/>
                <w:sz w:val="21"/>
                <w:szCs w:val="21"/>
                <w:highlight w:val="none"/>
              </w:rPr>
              <w:t>文件正本与副本，电子版整体密封在一个包封中，并在封套的封口处加盖</w:t>
            </w:r>
            <w:r>
              <w:rPr>
                <w:rFonts w:hint="eastAsia" w:ascii="黑体" w:hAnsi="黑体" w:eastAsia="黑体" w:cs="黑体"/>
                <w:color w:val="auto"/>
                <w:sz w:val="21"/>
                <w:szCs w:val="21"/>
                <w:highlight w:val="none"/>
                <w:lang w:eastAsia="zh-CN"/>
              </w:rPr>
              <w:t>供应商</w:t>
            </w:r>
            <w:r>
              <w:rPr>
                <w:rFonts w:hint="eastAsia" w:ascii="黑体" w:hAnsi="黑体" w:eastAsia="黑体" w:cs="黑体"/>
                <w:color w:val="auto"/>
                <w:sz w:val="21"/>
                <w:szCs w:val="21"/>
                <w:highlight w:val="none"/>
              </w:rPr>
              <w:t>单位公章。</w:t>
            </w:r>
          </w:p>
          <w:p w14:paraId="6634994A">
            <w:pPr>
              <w:spacing w:line="440" w:lineRule="exact"/>
              <w:jc w:val="left"/>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封套上应注明：</w:t>
            </w:r>
          </w:p>
          <w:p w14:paraId="0A3FBD92">
            <w:pPr>
              <w:spacing w:line="360" w:lineRule="auto"/>
              <w:jc w:val="left"/>
              <w:rPr>
                <w:rFonts w:hint="eastAsia" w:ascii="黑体" w:hAnsi="黑体" w:eastAsia="黑体" w:cs="黑体"/>
                <w:color w:val="auto"/>
                <w:sz w:val="21"/>
                <w:szCs w:val="21"/>
                <w:highlight w:val="none"/>
              </w:rPr>
            </w:pPr>
            <w:r>
              <w:rPr>
                <w:rFonts w:hint="eastAsia" w:ascii="黑体" w:hAnsi="黑体" w:cs="黑体"/>
                <w:color w:val="auto"/>
                <w:sz w:val="21"/>
                <w:szCs w:val="21"/>
                <w:highlight w:val="none"/>
                <w:lang w:val="en-US" w:eastAsia="zh-CN"/>
              </w:rPr>
              <w:t>供应商</w:t>
            </w:r>
            <w:r>
              <w:rPr>
                <w:rFonts w:hint="eastAsia" w:ascii="黑体" w:hAnsi="黑体" w:eastAsia="黑体" w:cs="黑体"/>
                <w:color w:val="auto"/>
                <w:sz w:val="21"/>
                <w:szCs w:val="21"/>
                <w:highlight w:val="none"/>
              </w:rPr>
              <w:t>名称：</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u w:val="single"/>
                <w:lang w:val="en-US" w:eastAsia="zh-CN"/>
              </w:rPr>
              <w:t xml:space="preserve">                          </w:t>
            </w:r>
          </w:p>
          <w:p w14:paraId="07424812">
            <w:pPr>
              <w:spacing w:line="360" w:lineRule="auto"/>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项目名称：</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u w:val="single"/>
              </w:rPr>
              <w:tab/>
            </w:r>
            <w:r>
              <w:rPr>
                <w:rFonts w:hint="eastAsia" w:ascii="黑体" w:hAnsi="黑体" w:eastAsia="黑体" w:cs="黑体"/>
                <w:color w:val="auto"/>
                <w:sz w:val="21"/>
                <w:szCs w:val="21"/>
                <w:highlight w:val="none"/>
                <w:u w:val="single"/>
                <w:lang w:val="en-US" w:eastAsia="zh-CN"/>
              </w:rPr>
              <w:t xml:space="preserve">                            </w:t>
            </w:r>
          </w:p>
          <w:p w14:paraId="5EC36EAD">
            <w:pPr>
              <w:spacing w:line="360" w:lineRule="auto"/>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项目编号：</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u w:val="single"/>
              </w:rPr>
              <w:tab/>
            </w:r>
            <w:r>
              <w:rPr>
                <w:rFonts w:hint="eastAsia" w:ascii="黑体" w:hAnsi="黑体" w:eastAsia="黑体" w:cs="黑体"/>
                <w:color w:val="auto"/>
                <w:sz w:val="21"/>
                <w:szCs w:val="21"/>
                <w:highlight w:val="none"/>
                <w:u w:val="single"/>
                <w:lang w:val="en-US" w:eastAsia="zh-CN"/>
              </w:rPr>
              <w:t xml:space="preserve">                            </w:t>
            </w:r>
          </w:p>
          <w:p w14:paraId="46BADAB0">
            <w:pPr>
              <w:spacing w:line="360" w:lineRule="auto"/>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u w:val="single"/>
                <w:lang w:val="en-US" w:eastAsia="zh-CN"/>
              </w:rPr>
              <w:t xml:space="preserve">       </w:t>
            </w:r>
            <w:r>
              <w:rPr>
                <w:rFonts w:hint="eastAsia" w:ascii="黑体" w:hAnsi="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lang w:eastAsia="zh-CN"/>
              </w:rPr>
              <w:t>竞标文件</w:t>
            </w:r>
          </w:p>
          <w:p w14:paraId="1417AF65">
            <w:pPr>
              <w:spacing w:line="440" w:lineRule="exact"/>
              <w:jc w:val="left"/>
              <w:rPr>
                <w:rFonts w:hint="default"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rPr>
              <w:t>在</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rPr>
              <w:t>年</w:t>
            </w:r>
            <w:r>
              <w:rPr>
                <w:rFonts w:hint="eastAsia" w:ascii="黑体" w:hAnsi="黑体" w:eastAsia="黑体" w:cs="黑体"/>
                <w:color w:val="auto"/>
                <w:sz w:val="21"/>
                <w:szCs w:val="21"/>
                <w:highlight w:val="none"/>
                <w:u w:val="single"/>
              </w:rPr>
              <w:t xml:space="preserve">  </w:t>
            </w:r>
            <w:r>
              <w:rPr>
                <w:rFonts w:hint="eastAsia" w:ascii="黑体" w:hAnsi="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月</w:t>
            </w:r>
            <w:r>
              <w:rPr>
                <w:rFonts w:hint="eastAsia" w:ascii="黑体" w:hAnsi="黑体" w:eastAsia="黑体" w:cs="黑体"/>
                <w:color w:val="auto"/>
                <w:sz w:val="21"/>
                <w:szCs w:val="21"/>
                <w:highlight w:val="none"/>
                <w:u w:val="single"/>
              </w:rPr>
              <w:t xml:space="preserve">  </w:t>
            </w:r>
            <w:r>
              <w:rPr>
                <w:rFonts w:hint="eastAsia" w:ascii="黑体" w:hAnsi="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日</w:t>
            </w:r>
            <w:r>
              <w:rPr>
                <w:rFonts w:hint="eastAsia" w:ascii="黑体" w:hAnsi="黑体" w:eastAsia="黑体" w:cs="黑体"/>
                <w:color w:val="auto"/>
                <w:sz w:val="21"/>
                <w:szCs w:val="21"/>
                <w:highlight w:val="none"/>
                <w:u w:val="single"/>
              </w:rPr>
              <w:t xml:space="preserve">   </w:t>
            </w:r>
            <w:r>
              <w:rPr>
                <w:rFonts w:hint="eastAsia" w:ascii="黑体" w:hAnsi="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rPr>
              <w:t>时</w:t>
            </w:r>
            <w:r>
              <w:rPr>
                <w:rFonts w:hint="eastAsia" w:ascii="黑体" w:hAnsi="黑体" w:eastAsia="黑体" w:cs="黑体"/>
                <w:color w:val="auto"/>
                <w:sz w:val="21"/>
                <w:szCs w:val="21"/>
                <w:highlight w:val="none"/>
                <w:u w:val="single"/>
              </w:rPr>
              <w:t xml:space="preserve">  </w:t>
            </w:r>
            <w:r>
              <w:rPr>
                <w:rFonts w:hint="eastAsia" w:ascii="黑体" w:hAnsi="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rPr>
              <w:t>分前不得开启</w:t>
            </w:r>
            <w:r>
              <w:rPr>
                <w:rFonts w:hint="eastAsia" w:ascii="黑体" w:hAnsi="黑体" w:eastAsia="黑体" w:cs="黑体"/>
                <w:sz w:val="24"/>
                <w:szCs w:val="24"/>
                <w:highlight w:val="none"/>
                <w:u w:val="single"/>
              </w:rPr>
              <w:t xml:space="preserve">        </w:t>
            </w:r>
            <w:r>
              <w:rPr>
                <w:rFonts w:hint="eastAsia" w:ascii="黑体" w:hAnsi="黑体" w:eastAsia="黑体" w:cs="黑体"/>
                <w:color w:val="auto"/>
                <w:sz w:val="21"/>
                <w:szCs w:val="21"/>
                <w:highlight w:val="none"/>
                <w:u w:val="single"/>
                <w:lang w:val="en-US" w:eastAsia="zh-CN"/>
              </w:rPr>
              <w:t xml:space="preserve">               </w:t>
            </w:r>
          </w:p>
        </w:tc>
      </w:tr>
      <w:tr w14:paraId="42B44266">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01F94246">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4.2.1</w:t>
            </w:r>
          </w:p>
        </w:tc>
        <w:tc>
          <w:tcPr>
            <w:tcW w:w="2128" w:type="dxa"/>
            <w:tcBorders>
              <w:top w:val="single" w:color="auto" w:sz="4" w:space="0"/>
              <w:left w:val="single" w:color="auto" w:sz="4" w:space="0"/>
              <w:bottom w:val="single" w:color="auto" w:sz="4" w:space="0"/>
              <w:right w:val="single" w:color="auto" w:sz="4" w:space="0"/>
            </w:tcBorders>
            <w:vAlign w:val="center"/>
          </w:tcPr>
          <w:p w14:paraId="098CEC1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auto"/>
                <w:sz w:val="21"/>
                <w:szCs w:val="21"/>
                <w:highlight w:val="none"/>
                <w:lang w:val="en-US" w:eastAsia="zh-CN"/>
              </w:rPr>
              <w:t>投标</w:t>
            </w:r>
            <w:r>
              <w:rPr>
                <w:rFonts w:hint="eastAsia" w:ascii="黑体" w:hAnsi="黑体" w:eastAsia="黑体" w:cs="黑体"/>
                <w:color w:val="auto"/>
                <w:sz w:val="21"/>
                <w:szCs w:val="21"/>
                <w:highlight w:val="none"/>
                <w:lang w:eastAsia="zh-CN"/>
              </w:rPr>
              <w:t>截止</w:t>
            </w:r>
            <w:r>
              <w:rPr>
                <w:rFonts w:hint="eastAsia" w:ascii="黑体" w:hAnsi="黑体" w:eastAsia="黑体" w:cs="黑体"/>
                <w:color w:val="auto"/>
                <w:sz w:val="21"/>
                <w:szCs w:val="21"/>
                <w:highlight w:val="none"/>
              </w:rPr>
              <w:t>时间</w:t>
            </w:r>
          </w:p>
        </w:tc>
        <w:tc>
          <w:tcPr>
            <w:tcW w:w="5493" w:type="dxa"/>
            <w:tcBorders>
              <w:top w:val="single" w:color="auto" w:sz="4" w:space="0"/>
              <w:left w:val="single" w:color="auto" w:sz="4" w:space="0"/>
              <w:bottom w:val="single" w:color="auto" w:sz="4" w:space="0"/>
              <w:right w:val="single" w:color="auto" w:sz="4" w:space="0"/>
            </w:tcBorders>
            <w:vAlign w:val="center"/>
          </w:tcPr>
          <w:p w14:paraId="4CF84EEB">
            <w:pPr>
              <w:spacing w:line="440" w:lineRule="exact"/>
              <w:jc w:val="left"/>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2025年05月22日</w:t>
            </w:r>
            <w:r>
              <w:rPr>
                <w:rFonts w:hint="eastAsia" w:ascii="黑体" w:hAnsi="黑体" w:cs="黑体"/>
                <w:sz w:val="21"/>
                <w:szCs w:val="21"/>
                <w:highlight w:val="none"/>
                <w:lang w:val="en-US" w:eastAsia="zh-CN"/>
              </w:rPr>
              <w:t>15</w:t>
            </w:r>
            <w:r>
              <w:rPr>
                <w:rFonts w:hint="eastAsia" w:ascii="黑体" w:hAnsi="黑体" w:eastAsia="黑体" w:cs="黑体"/>
                <w:sz w:val="21"/>
                <w:szCs w:val="21"/>
                <w:highlight w:val="none"/>
                <w:lang w:val="en-US" w:eastAsia="zh-CN"/>
              </w:rPr>
              <w:t>:30时（北京时间）。逾期提交的</w:t>
            </w:r>
            <w:r>
              <w:rPr>
                <w:rFonts w:hint="eastAsia" w:ascii="黑体" w:hAnsi="黑体" w:eastAsia="黑体" w:cs="黑体"/>
                <w:color w:val="auto"/>
                <w:sz w:val="21"/>
                <w:szCs w:val="21"/>
                <w:highlight w:val="none"/>
                <w:lang w:val="en-US" w:eastAsia="zh-CN"/>
              </w:rPr>
              <w:t>投标</w:t>
            </w:r>
            <w:r>
              <w:rPr>
                <w:rFonts w:hint="eastAsia" w:ascii="黑体" w:hAnsi="黑体" w:eastAsia="黑体" w:cs="黑体"/>
                <w:sz w:val="21"/>
                <w:szCs w:val="21"/>
                <w:highlight w:val="none"/>
                <w:lang w:val="en-US" w:eastAsia="zh-CN"/>
              </w:rPr>
              <w:t>文件不予接受。</w:t>
            </w:r>
          </w:p>
        </w:tc>
      </w:tr>
      <w:tr w14:paraId="2E544A2C">
        <w:tblPrEx>
          <w:tblCellMar>
            <w:top w:w="0" w:type="dxa"/>
            <w:left w:w="108" w:type="dxa"/>
            <w:bottom w:w="0" w:type="dxa"/>
            <w:right w:w="108" w:type="dxa"/>
          </w:tblCellMar>
        </w:tblPrEx>
        <w:trPr>
          <w:trHeight w:val="946" w:hRule="atLeast"/>
        </w:trPr>
        <w:tc>
          <w:tcPr>
            <w:tcW w:w="918" w:type="dxa"/>
            <w:tcBorders>
              <w:top w:val="single" w:color="auto" w:sz="4" w:space="0"/>
              <w:left w:val="single" w:color="auto" w:sz="4" w:space="0"/>
              <w:bottom w:val="single" w:color="auto" w:sz="4" w:space="0"/>
              <w:right w:val="single" w:color="auto" w:sz="4" w:space="0"/>
            </w:tcBorders>
            <w:vAlign w:val="center"/>
          </w:tcPr>
          <w:p w14:paraId="3F814A76">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4.2.2</w:t>
            </w:r>
          </w:p>
        </w:tc>
        <w:tc>
          <w:tcPr>
            <w:tcW w:w="2128" w:type="dxa"/>
            <w:tcBorders>
              <w:top w:val="single" w:color="auto" w:sz="4" w:space="0"/>
              <w:left w:val="single" w:color="auto" w:sz="4" w:space="0"/>
              <w:bottom w:val="single" w:color="auto" w:sz="4" w:space="0"/>
              <w:right w:val="single" w:color="auto" w:sz="4" w:space="0"/>
            </w:tcBorders>
            <w:vAlign w:val="center"/>
          </w:tcPr>
          <w:p w14:paraId="481E0CC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递交</w:t>
            </w:r>
            <w:r>
              <w:rPr>
                <w:rFonts w:hint="eastAsia" w:ascii="黑体" w:hAnsi="黑体" w:eastAsia="黑体" w:cs="黑体"/>
                <w:color w:val="000000"/>
                <w:sz w:val="21"/>
                <w:szCs w:val="21"/>
                <w:highlight w:val="none"/>
                <w:lang w:val="en-US" w:eastAsia="zh-CN"/>
              </w:rPr>
              <w:t>响应</w:t>
            </w:r>
            <w:r>
              <w:rPr>
                <w:rFonts w:hint="eastAsia" w:ascii="黑体" w:hAnsi="黑体" w:eastAsia="黑体" w:cs="黑体"/>
                <w:color w:val="000000"/>
                <w:sz w:val="21"/>
                <w:szCs w:val="21"/>
                <w:highlight w:val="none"/>
                <w:lang w:eastAsia="zh-CN"/>
              </w:rPr>
              <w:t>文件</w:t>
            </w:r>
            <w:r>
              <w:rPr>
                <w:rFonts w:hint="eastAsia" w:ascii="黑体" w:hAnsi="黑体" w:eastAsia="黑体" w:cs="黑体"/>
                <w:color w:val="000000"/>
                <w:sz w:val="21"/>
                <w:szCs w:val="21"/>
                <w:highlight w:val="none"/>
              </w:rPr>
              <w:t>地点</w:t>
            </w:r>
          </w:p>
        </w:tc>
        <w:tc>
          <w:tcPr>
            <w:tcW w:w="5493" w:type="dxa"/>
            <w:tcBorders>
              <w:top w:val="single" w:color="auto" w:sz="4" w:space="0"/>
              <w:left w:val="single" w:color="auto" w:sz="4" w:space="0"/>
              <w:bottom w:val="single" w:color="auto" w:sz="4" w:space="0"/>
              <w:right w:val="single" w:color="auto" w:sz="4" w:space="0"/>
            </w:tcBorders>
            <w:vAlign w:val="center"/>
          </w:tcPr>
          <w:p w14:paraId="690877CB">
            <w:pPr>
              <w:spacing w:line="440" w:lineRule="exact"/>
              <w:jc w:val="left"/>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内蒙古元沣工程项目管理有限公司开标室（乌海市海勃湾区蒙西投资集团大厦10层）</w:t>
            </w:r>
          </w:p>
        </w:tc>
      </w:tr>
      <w:tr w14:paraId="3FE413D3">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3D64F516">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4.2.3</w:t>
            </w:r>
          </w:p>
        </w:tc>
        <w:tc>
          <w:tcPr>
            <w:tcW w:w="2128" w:type="dxa"/>
            <w:tcBorders>
              <w:top w:val="single" w:color="auto" w:sz="4" w:space="0"/>
              <w:left w:val="single" w:color="auto" w:sz="4" w:space="0"/>
              <w:bottom w:val="single" w:color="auto" w:sz="4" w:space="0"/>
              <w:right w:val="single" w:color="auto" w:sz="4" w:space="0"/>
            </w:tcBorders>
            <w:vAlign w:val="center"/>
          </w:tcPr>
          <w:p w14:paraId="26B23E00">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投标</w:t>
            </w:r>
            <w:r>
              <w:rPr>
                <w:rFonts w:hint="eastAsia" w:ascii="黑体" w:hAnsi="黑体" w:eastAsia="黑体" w:cs="黑体"/>
                <w:color w:val="000000"/>
                <w:sz w:val="21"/>
                <w:szCs w:val="21"/>
                <w:highlight w:val="none"/>
                <w:lang w:val="en-US" w:eastAsia="zh-CN"/>
              </w:rPr>
              <w:t>响应</w:t>
            </w:r>
            <w:r>
              <w:rPr>
                <w:rFonts w:hint="eastAsia" w:ascii="黑体" w:hAnsi="黑体" w:eastAsia="黑体" w:cs="黑体"/>
                <w:color w:val="000000"/>
                <w:sz w:val="21"/>
                <w:szCs w:val="21"/>
                <w:highlight w:val="none"/>
              </w:rPr>
              <w:t>是否退还</w:t>
            </w:r>
          </w:p>
        </w:tc>
        <w:tc>
          <w:tcPr>
            <w:tcW w:w="5493" w:type="dxa"/>
            <w:tcBorders>
              <w:top w:val="single" w:color="auto" w:sz="4" w:space="0"/>
              <w:left w:val="single" w:color="auto" w:sz="4" w:space="0"/>
              <w:bottom w:val="single" w:color="auto" w:sz="4" w:space="0"/>
              <w:right w:val="single" w:color="auto" w:sz="4" w:space="0"/>
            </w:tcBorders>
            <w:vAlign w:val="center"/>
          </w:tcPr>
          <w:p w14:paraId="75512BB9">
            <w:pPr>
              <w:spacing w:line="440" w:lineRule="exact"/>
              <w:jc w:val="left"/>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否</w:t>
            </w:r>
          </w:p>
        </w:tc>
      </w:tr>
      <w:tr w14:paraId="29E23C45">
        <w:tblPrEx>
          <w:tblCellMar>
            <w:top w:w="0" w:type="dxa"/>
            <w:left w:w="108" w:type="dxa"/>
            <w:bottom w:w="0" w:type="dxa"/>
            <w:right w:w="108" w:type="dxa"/>
          </w:tblCellMar>
        </w:tblPrEx>
        <w:trPr>
          <w:trHeight w:val="1379" w:hRule="atLeast"/>
        </w:trPr>
        <w:tc>
          <w:tcPr>
            <w:tcW w:w="918" w:type="dxa"/>
            <w:tcBorders>
              <w:top w:val="single" w:color="auto" w:sz="4" w:space="0"/>
              <w:left w:val="single" w:color="auto" w:sz="4" w:space="0"/>
              <w:bottom w:val="single" w:color="auto" w:sz="4" w:space="0"/>
              <w:right w:val="single" w:color="auto" w:sz="4" w:space="0"/>
            </w:tcBorders>
            <w:vAlign w:val="center"/>
          </w:tcPr>
          <w:p w14:paraId="1421BBAC">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5.1</w:t>
            </w:r>
          </w:p>
        </w:tc>
        <w:tc>
          <w:tcPr>
            <w:tcW w:w="2128" w:type="dxa"/>
            <w:tcBorders>
              <w:top w:val="single" w:color="auto" w:sz="4" w:space="0"/>
              <w:left w:val="single" w:color="auto" w:sz="4" w:space="0"/>
              <w:bottom w:val="single" w:color="auto" w:sz="4" w:space="0"/>
              <w:right w:val="single" w:color="auto" w:sz="4" w:space="0"/>
            </w:tcBorders>
            <w:vAlign w:val="center"/>
          </w:tcPr>
          <w:p w14:paraId="3E02E9D3">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开标时间和地点</w:t>
            </w:r>
          </w:p>
        </w:tc>
        <w:tc>
          <w:tcPr>
            <w:tcW w:w="5493" w:type="dxa"/>
            <w:tcBorders>
              <w:top w:val="single" w:color="auto" w:sz="4" w:space="0"/>
              <w:left w:val="single" w:color="auto" w:sz="4" w:space="0"/>
              <w:bottom w:val="single" w:color="auto" w:sz="4" w:space="0"/>
              <w:right w:val="single" w:color="auto" w:sz="4" w:space="0"/>
            </w:tcBorders>
            <w:vAlign w:val="center"/>
          </w:tcPr>
          <w:p w14:paraId="209807C9">
            <w:pPr>
              <w:spacing w:line="440" w:lineRule="exact"/>
              <w:jc w:val="left"/>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开标时间：2025年05月22日</w:t>
            </w:r>
            <w:r>
              <w:rPr>
                <w:rFonts w:hint="eastAsia" w:ascii="黑体" w:hAnsi="黑体" w:cs="黑体"/>
                <w:sz w:val="21"/>
                <w:szCs w:val="21"/>
                <w:highlight w:val="none"/>
                <w:lang w:val="en-US" w:eastAsia="zh-CN"/>
              </w:rPr>
              <w:t>15</w:t>
            </w:r>
            <w:r>
              <w:rPr>
                <w:rFonts w:hint="eastAsia" w:ascii="黑体" w:hAnsi="黑体" w:eastAsia="黑体" w:cs="黑体"/>
                <w:sz w:val="21"/>
                <w:szCs w:val="21"/>
                <w:highlight w:val="none"/>
                <w:lang w:val="en-US" w:eastAsia="zh-CN"/>
              </w:rPr>
              <w:t>:30时</w:t>
            </w:r>
          </w:p>
          <w:p w14:paraId="6003B316">
            <w:pPr>
              <w:spacing w:line="440" w:lineRule="exact"/>
              <w:jc w:val="left"/>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开标地点：内蒙古元沣工程项目管理有限公司开标室（乌海市海勃湾区蒙西投资集团大厦10层）</w:t>
            </w:r>
          </w:p>
        </w:tc>
      </w:tr>
      <w:tr w14:paraId="2FAFCD35">
        <w:tblPrEx>
          <w:tblCellMar>
            <w:top w:w="0" w:type="dxa"/>
            <w:left w:w="108" w:type="dxa"/>
            <w:bottom w:w="0" w:type="dxa"/>
            <w:right w:w="108" w:type="dxa"/>
          </w:tblCellMar>
        </w:tblPrEx>
        <w:trPr>
          <w:trHeight w:val="4099" w:hRule="atLeast"/>
        </w:trPr>
        <w:tc>
          <w:tcPr>
            <w:tcW w:w="918" w:type="dxa"/>
            <w:tcBorders>
              <w:top w:val="single" w:color="auto" w:sz="4" w:space="0"/>
              <w:left w:val="single" w:color="auto" w:sz="4" w:space="0"/>
              <w:bottom w:val="single" w:color="auto" w:sz="4" w:space="0"/>
              <w:right w:val="single" w:color="auto" w:sz="4" w:space="0"/>
            </w:tcBorders>
            <w:vAlign w:val="center"/>
          </w:tcPr>
          <w:p w14:paraId="7CD63DCA">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 xml:space="preserve">5.2 </w:t>
            </w:r>
          </w:p>
        </w:tc>
        <w:tc>
          <w:tcPr>
            <w:tcW w:w="2128" w:type="dxa"/>
            <w:tcBorders>
              <w:top w:val="single" w:color="auto" w:sz="4" w:space="0"/>
              <w:left w:val="single" w:color="auto" w:sz="4" w:space="0"/>
              <w:bottom w:val="single" w:color="auto" w:sz="4" w:space="0"/>
              <w:right w:val="single" w:color="auto" w:sz="4" w:space="0"/>
            </w:tcBorders>
            <w:vAlign w:val="center"/>
          </w:tcPr>
          <w:p w14:paraId="48DC852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开标程序</w:t>
            </w:r>
          </w:p>
        </w:tc>
        <w:tc>
          <w:tcPr>
            <w:tcW w:w="5493" w:type="dxa"/>
            <w:tcBorders>
              <w:top w:val="single" w:color="auto" w:sz="4" w:space="0"/>
              <w:left w:val="single" w:color="auto" w:sz="4" w:space="0"/>
              <w:bottom w:val="single" w:color="auto" w:sz="4" w:space="0"/>
              <w:right w:val="single" w:color="auto" w:sz="4" w:space="0"/>
            </w:tcBorders>
            <w:vAlign w:val="center"/>
          </w:tcPr>
          <w:p w14:paraId="32A09F1B">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1、开标准备工作</w:t>
            </w:r>
          </w:p>
          <w:p w14:paraId="76009B02">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（1）在规定时间宣布开标会开始。</w:t>
            </w:r>
          </w:p>
          <w:p w14:paraId="4EBE1628">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2、开标程序</w:t>
            </w:r>
          </w:p>
          <w:p w14:paraId="7A95174E">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（1）宣读采购人、监督人；</w:t>
            </w:r>
          </w:p>
          <w:p w14:paraId="6127A269">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（2）宣布主持人、唱标人、开标人、记录人；</w:t>
            </w:r>
          </w:p>
          <w:p w14:paraId="63150CD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（3）</w:t>
            </w:r>
            <w:r>
              <w:rPr>
                <w:rFonts w:hint="eastAsia" w:ascii="黑体" w:hAnsi="黑体" w:eastAsia="黑体" w:cs="黑体"/>
                <w:b w:val="0"/>
                <w:bCs w:val="0"/>
                <w:color w:val="000000"/>
                <w:sz w:val="21"/>
                <w:szCs w:val="21"/>
                <w:highlight w:val="none"/>
              </w:rPr>
              <w:t>公布</w:t>
            </w:r>
            <w:r>
              <w:rPr>
                <w:rFonts w:hint="eastAsia" w:ascii="黑体" w:hAnsi="黑体" w:eastAsia="黑体" w:cs="黑体"/>
                <w:b w:val="0"/>
                <w:bCs w:val="0"/>
                <w:color w:val="000000"/>
                <w:sz w:val="21"/>
                <w:szCs w:val="21"/>
                <w:highlight w:val="none"/>
                <w:lang w:val="en-US" w:eastAsia="zh-CN"/>
              </w:rPr>
              <w:t>供应商</w:t>
            </w:r>
            <w:r>
              <w:rPr>
                <w:rFonts w:hint="eastAsia" w:ascii="黑体" w:hAnsi="黑体" w:eastAsia="黑体" w:cs="黑体"/>
                <w:b w:val="0"/>
                <w:bCs w:val="0"/>
                <w:color w:val="000000"/>
                <w:sz w:val="21"/>
                <w:szCs w:val="21"/>
                <w:highlight w:val="none"/>
              </w:rPr>
              <w:t>名称、</w:t>
            </w:r>
            <w:r>
              <w:rPr>
                <w:rFonts w:hint="eastAsia" w:ascii="黑体" w:hAnsi="黑体" w:eastAsia="黑体" w:cs="黑体"/>
                <w:b w:val="0"/>
                <w:bCs w:val="0"/>
                <w:color w:val="000000"/>
                <w:sz w:val="21"/>
                <w:szCs w:val="21"/>
                <w:highlight w:val="none"/>
                <w:lang w:val="en-US" w:eastAsia="zh-CN"/>
              </w:rPr>
              <w:t>响应文件递交时间</w:t>
            </w:r>
            <w:r>
              <w:rPr>
                <w:rFonts w:hint="eastAsia" w:ascii="黑体" w:hAnsi="黑体" w:eastAsia="黑体" w:cs="黑体"/>
                <w:b w:val="0"/>
                <w:bCs w:val="0"/>
                <w:color w:val="000000"/>
                <w:sz w:val="21"/>
                <w:szCs w:val="21"/>
                <w:highlight w:val="none"/>
              </w:rPr>
              <w:t>、</w:t>
            </w:r>
            <w:r>
              <w:rPr>
                <w:rFonts w:hint="eastAsia" w:ascii="黑体" w:hAnsi="黑体" w:eastAsia="黑体" w:cs="黑体"/>
                <w:b w:val="0"/>
                <w:bCs w:val="0"/>
                <w:color w:val="000000"/>
                <w:sz w:val="21"/>
                <w:szCs w:val="21"/>
                <w:highlight w:val="none"/>
                <w:lang w:val="en-US" w:eastAsia="zh-CN"/>
              </w:rPr>
              <w:t>投标</w:t>
            </w:r>
            <w:r>
              <w:rPr>
                <w:rFonts w:hint="eastAsia" w:ascii="黑体" w:hAnsi="黑体" w:eastAsia="黑体" w:cs="黑体"/>
                <w:b w:val="0"/>
                <w:bCs w:val="0"/>
                <w:color w:val="000000"/>
                <w:sz w:val="21"/>
                <w:szCs w:val="21"/>
                <w:highlight w:val="none"/>
              </w:rPr>
              <w:t>报价、</w:t>
            </w:r>
            <w:r>
              <w:rPr>
                <w:rFonts w:hint="eastAsia" w:ascii="黑体" w:hAnsi="黑体" w:eastAsia="黑体" w:cs="黑体"/>
                <w:b w:val="0"/>
                <w:bCs w:val="0"/>
                <w:color w:val="000000"/>
                <w:sz w:val="21"/>
                <w:szCs w:val="21"/>
                <w:highlight w:val="none"/>
                <w:lang w:val="en-US" w:eastAsia="zh-CN"/>
              </w:rPr>
              <w:t>交货及安装周期要求</w:t>
            </w:r>
            <w:r>
              <w:rPr>
                <w:rFonts w:hint="eastAsia" w:ascii="黑体" w:hAnsi="黑体" w:eastAsia="黑体" w:cs="黑体"/>
                <w:b w:val="0"/>
                <w:bCs w:val="0"/>
                <w:color w:val="000000"/>
                <w:sz w:val="21"/>
                <w:szCs w:val="21"/>
                <w:highlight w:val="none"/>
              </w:rPr>
              <w:t>、</w:t>
            </w:r>
            <w:r>
              <w:rPr>
                <w:rFonts w:hint="eastAsia" w:ascii="黑体" w:hAnsi="黑体" w:eastAsia="黑体" w:cs="黑体"/>
                <w:b w:val="0"/>
                <w:bCs w:val="0"/>
                <w:color w:val="000000"/>
                <w:sz w:val="21"/>
                <w:szCs w:val="21"/>
                <w:highlight w:val="none"/>
                <w:lang w:val="en-US" w:eastAsia="zh-CN"/>
              </w:rPr>
              <w:t>质量标准</w:t>
            </w:r>
            <w:r>
              <w:rPr>
                <w:rFonts w:hint="eastAsia" w:ascii="黑体" w:hAnsi="黑体" w:eastAsia="黑体" w:cs="黑体"/>
                <w:b w:val="0"/>
                <w:bCs w:val="0"/>
                <w:color w:val="000000"/>
                <w:sz w:val="21"/>
                <w:szCs w:val="21"/>
                <w:highlight w:val="none"/>
              </w:rPr>
              <w:t>及其他内容，并记录在案</w:t>
            </w:r>
            <w:r>
              <w:rPr>
                <w:rFonts w:hint="eastAsia" w:ascii="黑体" w:hAnsi="黑体" w:eastAsia="黑体" w:cs="黑体"/>
                <w:color w:val="000000"/>
                <w:sz w:val="21"/>
                <w:szCs w:val="21"/>
                <w:highlight w:val="none"/>
                <w:lang w:val="en-US" w:eastAsia="zh-CN"/>
              </w:rPr>
              <w:t>；</w:t>
            </w:r>
          </w:p>
          <w:p w14:paraId="2D47407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（4）对响应文件进行评标和宣布评标结果；</w:t>
            </w:r>
          </w:p>
          <w:p w14:paraId="460E10B0">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（5）开标、评标会结束。</w:t>
            </w:r>
          </w:p>
        </w:tc>
      </w:tr>
      <w:tr w14:paraId="433566C0">
        <w:tblPrEx>
          <w:tblCellMar>
            <w:top w:w="0" w:type="dxa"/>
            <w:left w:w="108" w:type="dxa"/>
            <w:bottom w:w="0" w:type="dxa"/>
            <w:right w:w="108" w:type="dxa"/>
          </w:tblCellMar>
        </w:tblPrEx>
        <w:trPr>
          <w:trHeight w:val="2038" w:hRule="atLeast"/>
        </w:trPr>
        <w:tc>
          <w:tcPr>
            <w:tcW w:w="918" w:type="dxa"/>
            <w:tcBorders>
              <w:top w:val="single" w:color="auto" w:sz="4" w:space="0"/>
              <w:left w:val="single" w:color="auto" w:sz="4" w:space="0"/>
              <w:bottom w:val="single" w:color="auto" w:sz="4" w:space="0"/>
              <w:right w:val="single" w:color="auto" w:sz="4" w:space="0"/>
            </w:tcBorders>
            <w:vAlign w:val="center"/>
          </w:tcPr>
          <w:p w14:paraId="16C8D8FC">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 xml:space="preserve">6.1.1 </w:t>
            </w:r>
          </w:p>
        </w:tc>
        <w:tc>
          <w:tcPr>
            <w:tcW w:w="2128" w:type="dxa"/>
            <w:tcBorders>
              <w:top w:val="single" w:color="auto" w:sz="4" w:space="0"/>
              <w:left w:val="single" w:color="auto" w:sz="4" w:space="0"/>
              <w:bottom w:val="single" w:color="auto" w:sz="4" w:space="0"/>
              <w:right w:val="single" w:color="auto" w:sz="4" w:space="0"/>
            </w:tcBorders>
            <w:vAlign w:val="center"/>
          </w:tcPr>
          <w:p w14:paraId="3D8D3550">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评标委员会的组建</w:t>
            </w:r>
          </w:p>
        </w:tc>
        <w:tc>
          <w:tcPr>
            <w:tcW w:w="5493" w:type="dxa"/>
            <w:tcBorders>
              <w:top w:val="single" w:color="auto" w:sz="4" w:space="0"/>
              <w:left w:val="single" w:color="auto" w:sz="4" w:space="0"/>
              <w:bottom w:val="single" w:color="auto" w:sz="4" w:space="0"/>
              <w:right w:val="single" w:color="auto" w:sz="4" w:space="0"/>
            </w:tcBorders>
            <w:vAlign w:val="center"/>
          </w:tcPr>
          <w:p w14:paraId="0CEED4C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评标由采购人依法组建的评标委员会负责，其中技术、经济等方面的专家不得少于成员总数的三分之二。</w:t>
            </w:r>
          </w:p>
          <w:p w14:paraId="2B47DDFB">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评标委员会成员人数为3人，包括技术、经济等方面的专家。</w:t>
            </w:r>
            <w:bookmarkStart w:id="382" w:name="_GoBack"/>
            <w:bookmarkEnd w:id="382"/>
          </w:p>
          <w:p w14:paraId="5BB3B898">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专家确定方式：依法从乌海市专家库系统里随机抽取</w:t>
            </w:r>
          </w:p>
        </w:tc>
      </w:tr>
      <w:tr w14:paraId="7DB3D9B4">
        <w:tblPrEx>
          <w:tblCellMar>
            <w:top w:w="0" w:type="dxa"/>
            <w:left w:w="108" w:type="dxa"/>
            <w:bottom w:w="0" w:type="dxa"/>
            <w:right w:w="108" w:type="dxa"/>
          </w:tblCellMar>
        </w:tblPrEx>
        <w:trPr>
          <w:trHeight w:val="1565" w:hRule="atLeast"/>
        </w:trPr>
        <w:tc>
          <w:tcPr>
            <w:tcW w:w="918" w:type="dxa"/>
            <w:tcBorders>
              <w:top w:val="single" w:color="auto" w:sz="4" w:space="0"/>
              <w:left w:val="single" w:color="auto" w:sz="4" w:space="0"/>
              <w:bottom w:val="single" w:color="auto" w:sz="4" w:space="0"/>
              <w:right w:val="single" w:color="auto" w:sz="4" w:space="0"/>
            </w:tcBorders>
            <w:vAlign w:val="center"/>
          </w:tcPr>
          <w:p w14:paraId="782337D4">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6.3.2</w:t>
            </w:r>
          </w:p>
        </w:tc>
        <w:tc>
          <w:tcPr>
            <w:tcW w:w="2128" w:type="dxa"/>
            <w:tcBorders>
              <w:top w:val="single" w:color="auto" w:sz="4" w:space="0"/>
              <w:left w:val="single" w:color="auto" w:sz="4" w:space="0"/>
              <w:bottom w:val="single" w:color="auto" w:sz="4" w:space="0"/>
              <w:right w:val="single" w:color="auto" w:sz="4" w:space="0"/>
            </w:tcBorders>
            <w:vAlign w:val="center"/>
          </w:tcPr>
          <w:p w14:paraId="605988B2">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评标委员会推荐中标候选人的人数</w:t>
            </w:r>
          </w:p>
        </w:tc>
        <w:tc>
          <w:tcPr>
            <w:tcW w:w="5493" w:type="dxa"/>
            <w:tcBorders>
              <w:top w:val="single" w:color="auto" w:sz="4" w:space="0"/>
              <w:left w:val="single" w:color="auto" w:sz="4" w:space="0"/>
              <w:bottom w:val="single" w:color="auto" w:sz="4" w:space="0"/>
              <w:right w:val="single" w:color="auto" w:sz="4" w:space="0"/>
            </w:tcBorders>
            <w:vAlign w:val="center"/>
          </w:tcPr>
          <w:p w14:paraId="7D17A430">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按照综合得分由高到低的顺序推荐中标候选人，有效供应商如达到三至五家（包括五家）推荐前二名为中标候选人、五家以上（不包括五家）推荐前三名为中标候选人。</w:t>
            </w:r>
          </w:p>
        </w:tc>
      </w:tr>
      <w:tr w14:paraId="62BBBC04">
        <w:tblPrEx>
          <w:tblCellMar>
            <w:top w:w="0" w:type="dxa"/>
            <w:left w:w="108" w:type="dxa"/>
            <w:bottom w:w="0" w:type="dxa"/>
            <w:right w:w="108" w:type="dxa"/>
          </w:tblCellMar>
        </w:tblPrEx>
        <w:trPr>
          <w:trHeight w:val="1832" w:hRule="atLeast"/>
        </w:trPr>
        <w:tc>
          <w:tcPr>
            <w:tcW w:w="918" w:type="dxa"/>
            <w:tcBorders>
              <w:top w:val="single" w:color="auto" w:sz="4" w:space="0"/>
              <w:left w:val="single" w:color="auto" w:sz="4" w:space="0"/>
              <w:bottom w:val="single" w:color="auto" w:sz="4" w:space="0"/>
              <w:right w:val="single" w:color="auto" w:sz="4" w:space="0"/>
            </w:tcBorders>
            <w:vAlign w:val="center"/>
          </w:tcPr>
          <w:p w14:paraId="3B100627">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cs="黑体"/>
                <w:color w:val="000000"/>
                <w:sz w:val="21"/>
                <w:szCs w:val="21"/>
                <w:highlight w:val="none"/>
                <w:lang w:val="en-US" w:eastAsia="zh-CN"/>
              </w:rPr>
              <w:t>6.3.3</w:t>
            </w:r>
          </w:p>
        </w:tc>
        <w:tc>
          <w:tcPr>
            <w:tcW w:w="2128" w:type="dxa"/>
            <w:tcBorders>
              <w:top w:val="single" w:color="auto" w:sz="4" w:space="0"/>
              <w:left w:val="single" w:color="auto" w:sz="4" w:space="0"/>
              <w:bottom w:val="single" w:color="auto" w:sz="4" w:space="0"/>
              <w:right w:val="single" w:color="auto" w:sz="4" w:space="0"/>
            </w:tcBorders>
            <w:vAlign w:val="center"/>
          </w:tcPr>
          <w:p w14:paraId="4E8F9909">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评标委员会推荐原则</w:t>
            </w:r>
          </w:p>
        </w:tc>
        <w:tc>
          <w:tcPr>
            <w:tcW w:w="5493" w:type="dxa"/>
            <w:tcBorders>
              <w:top w:val="single" w:color="auto" w:sz="4" w:space="0"/>
              <w:left w:val="single" w:color="auto" w:sz="4" w:space="0"/>
              <w:bottom w:val="single" w:color="auto" w:sz="4" w:space="0"/>
              <w:right w:val="single" w:color="auto" w:sz="4" w:space="0"/>
            </w:tcBorders>
            <w:vAlign w:val="center"/>
          </w:tcPr>
          <w:p w14:paraId="5794EFC2">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按照综合得分由高到低的顺序推荐中标候选人；综合评分相等时，以投标报价低的优先；投标报价也相等的，以技术部分得分高者优先；技术部分得分也相等，由采购人或者经采购人授权评标委员会自行确定。</w:t>
            </w:r>
          </w:p>
        </w:tc>
      </w:tr>
      <w:tr w14:paraId="02E74DB4">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502C24B4">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7.1</w:t>
            </w:r>
          </w:p>
        </w:tc>
        <w:tc>
          <w:tcPr>
            <w:tcW w:w="2128" w:type="dxa"/>
            <w:tcBorders>
              <w:top w:val="single" w:color="auto" w:sz="4" w:space="0"/>
              <w:left w:val="single" w:color="auto" w:sz="4" w:space="0"/>
              <w:bottom w:val="single" w:color="auto" w:sz="4" w:space="0"/>
              <w:right w:val="single" w:color="auto" w:sz="4" w:space="0"/>
            </w:tcBorders>
            <w:vAlign w:val="center"/>
          </w:tcPr>
          <w:p w14:paraId="3DA55265">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中标公示媒介及期限</w:t>
            </w:r>
          </w:p>
        </w:tc>
        <w:tc>
          <w:tcPr>
            <w:tcW w:w="5493" w:type="dxa"/>
            <w:tcBorders>
              <w:top w:val="single" w:color="auto" w:sz="4" w:space="0"/>
              <w:left w:val="single" w:color="auto" w:sz="4" w:space="0"/>
              <w:bottom w:val="single" w:color="auto" w:sz="4" w:space="0"/>
              <w:right w:val="single" w:color="auto" w:sz="4" w:space="0"/>
            </w:tcBorders>
            <w:vAlign w:val="center"/>
          </w:tcPr>
          <w:p w14:paraId="48EE4E16">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公示媒介：《内蒙古自治区采购单位服务平台》</w:t>
            </w:r>
          </w:p>
          <w:p w14:paraId="3EE6802F">
            <w:pPr>
              <w:spacing w:line="360" w:lineRule="exact"/>
              <w:jc w:val="both"/>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公示期限：</w:t>
            </w:r>
            <w:r>
              <w:rPr>
                <w:rFonts w:hint="eastAsia" w:ascii="黑体" w:hAnsi="黑体" w:eastAsia="黑体" w:cs="黑体"/>
                <w:color w:val="000000"/>
                <w:sz w:val="21"/>
                <w:szCs w:val="21"/>
                <w:highlight w:val="none"/>
                <w:lang w:val="en-US" w:eastAsia="zh-CN"/>
              </w:rPr>
              <w:t>1</w:t>
            </w:r>
            <w:r>
              <w:rPr>
                <w:rFonts w:hint="eastAsia" w:ascii="黑体" w:hAnsi="黑体" w:eastAsia="黑体" w:cs="黑体"/>
                <w:color w:val="000000"/>
                <w:sz w:val="21"/>
                <w:szCs w:val="21"/>
                <w:highlight w:val="none"/>
              </w:rPr>
              <w:t>日</w:t>
            </w:r>
          </w:p>
        </w:tc>
      </w:tr>
      <w:tr w14:paraId="3CB76EE0">
        <w:tblPrEx>
          <w:tblCellMar>
            <w:top w:w="0" w:type="dxa"/>
            <w:left w:w="108" w:type="dxa"/>
            <w:bottom w:w="0" w:type="dxa"/>
            <w:right w:w="108" w:type="dxa"/>
          </w:tblCellMar>
        </w:tblPrEx>
        <w:trPr>
          <w:trHeight w:val="926" w:hRule="atLeast"/>
        </w:trPr>
        <w:tc>
          <w:tcPr>
            <w:tcW w:w="918" w:type="dxa"/>
            <w:tcBorders>
              <w:top w:val="single" w:color="auto" w:sz="4" w:space="0"/>
              <w:left w:val="single" w:color="auto" w:sz="4" w:space="0"/>
              <w:bottom w:val="single" w:color="auto" w:sz="4" w:space="0"/>
              <w:right w:val="single" w:color="auto" w:sz="4" w:space="0"/>
            </w:tcBorders>
            <w:vAlign w:val="center"/>
          </w:tcPr>
          <w:p w14:paraId="5250BC16">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7.4</w:t>
            </w:r>
          </w:p>
        </w:tc>
        <w:tc>
          <w:tcPr>
            <w:tcW w:w="2128" w:type="dxa"/>
            <w:tcBorders>
              <w:top w:val="single" w:color="auto" w:sz="4" w:space="0"/>
              <w:left w:val="single" w:color="auto" w:sz="4" w:space="0"/>
              <w:bottom w:val="single" w:color="auto" w:sz="4" w:space="0"/>
              <w:right w:val="single" w:color="auto" w:sz="4" w:space="0"/>
            </w:tcBorders>
            <w:vAlign w:val="center"/>
          </w:tcPr>
          <w:p w14:paraId="3215C07E">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是否授权评标委员会确定</w:t>
            </w:r>
            <w:r>
              <w:rPr>
                <w:rFonts w:hint="eastAsia" w:ascii="黑体" w:hAnsi="黑体" w:eastAsia="黑体" w:cs="黑体"/>
                <w:color w:val="000000"/>
                <w:sz w:val="21"/>
                <w:szCs w:val="21"/>
                <w:highlight w:val="none"/>
                <w:lang w:eastAsia="zh-CN"/>
              </w:rPr>
              <w:t>成交供应商</w:t>
            </w:r>
          </w:p>
        </w:tc>
        <w:tc>
          <w:tcPr>
            <w:tcW w:w="5493" w:type="dxa"/>
            <w:tcBorders>
              <w:top w:val="single" w:color="auto" w:sz="4" w:space="0"/>
              <w:left w:val="single" w:color="auto" w:sz="4" w:space="0"/>
              <w:bottom w:val="single" w:color="auto" w:sz="4" w:space="0"/>
              <w:right w:val="single" w:color="auto" w:sz="4" w:space="0"/>
            </w:tcBorders>
            <w:vAlign w:val="center"/>
          </w:tcPr>
          <w:p w14:paraId="71B45849">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否，采购人应当从评审报告提出的成交候选人中，按照排序由高到低的原则确定成交供应商。</w:t>
            </w:r>
          </w:p>
        </w:tc>
      </w:tr>
      <w:tr w14:paraId="3E54849E">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3A1D69D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7.6</w:t>
            </w:r>
          </w:p>
        </w:tc>
        <w:tc>
          <w:tcPr>
            <w:tcW w:w="2128" w:type="dxa"/>
            <w:tcBorders>
              <w:top w:val="single" w:color="auto" w:sz="4" w:space="0"/>
              <w:left w:val="single" w:color="auto" w:sz="4" w:space="0"/>
              <w:bottom w:val="single" w:color="auto" w:sz="4" w:space="0"/>
              <w:right w:val="single" w:color="auto" w:sz="4" w:space="0"/>
            </w:tcBorders>
            <w:vAlign w:val="center"/>
          </w:tcPr>
          <w:p w14:paraId="32EDA1F2">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技术成果经济补偿</w:t>
            </w:r>
          </w:p>
        </w:tc>
        <w:tc>
          <w:tcPr>
            <w:tcW w:w="5493" w:type="dxa"/>
            <w:tcBorders>
              <w:top w:val="single" w:color="auto" w:sz="4" w:space="0"/>
              <w:left w:val="single" w:color="auto" w:sz="4" w:space="0"/>
              <w:bottom w:val="single" w:color="auto" w:sz="4" w:space="0"/>
              <w:right w:val="single" w:color="auto" w:sz="4" w:space="0"/>
            </w:tcBorders>
            <w:vAlign w:val="center"/>
          </w:tcPr>
          <w:p w14:paraId="16955318">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不补偿</w:t>
            </w:r>
          </w:p>
        </w:tc>
      </w:tr>
      <w:tr w14:paraId="76E33778">
        <w:tblPrEx>
          <w:tblCellMar>
            <w:top w:w="0" w:type="dxa"/>
            <w:left w:w="108" w:type="dxa"/>
            <w:bottom w:w="0" w:type="dxa"/>
            <w:right w:w="108" w:type="dxa"/>
          </w:tblCellMar>
        </w:tblPrEx>
        <w:trPr>
          <w:trHeight w:val="472" w:hRule="atLeast"/>
        </w:trPr>
        <w:tc>
          <w:tcPr>
            <w:tcW w:w="918" w:type="dxa"/>
            <w:tcBorders>
              <w:top w:val="single" w:color="auto" w:sz="4" w:space="0"/>
              <w:left w:val="single" w:color="auto" w:sz="4" w:space="0"/>
              <w:bottom w:val="single" w:color="auto" w:sz="4" w:space="0"/>
              <w:right w:val="single" w:color="auto" w:sz="4" w:space="0"/>
            </w:tcBorders>
            <w:vAlign w:val="center"/>
          </w:tcPr>
          <w:p w14:paraId="01B91511">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 xml:space="preserve">7.7.1 </w:t>
            </w:r>
          </w:p>
        </w:tc>
        <w:tc>
          <w:tcPr>
            <w:tcW w:w="2128" w:type="dxa"/>
            <w:tcBorders>
              <w:top w:val="single" w:color="auto" w:sz="4" w:space="0"/>
              <w:left w:val="single" w:color="auto" w:sz="4" w:space="0"/>
              <w:bottom w:val="single" w:color="auto" w:sz="4" w:space="0"/>
              <w:right w:val="single" w:color="auto" w:sz="4" w:space="0"/>
            </w:tcBorders>
            <w:vAlign w:val="center"/>
          </w:tcPr>
          <w:p w14:paraId="5CF29C67">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履约保证金</w:t>
            </w:r>
          </w:p>
        </w:tc>
        <w:tc>
          <w:tcPr>
            <w:tcW w:w="5493" w:type="dxa"/>
            <w:tcBorders>
              <w:top w:val="single" w:color="auto" w:sz="4" w:space="0"/>
              <w:left w:val="single" w:color="auto" w:sz="4" w:space="0"/>
              <w:bottom w:val="single" w:color="auto" w:sz="4" w:space="0"/>
              <w:right w:val="single" w:color="auto" w:sz="4" w:space="0"/>
            </w:tcBorders>
            <w:vAlign w:val="center"/>
          </w:tcPr>
          <w:p w14:paraId="05C5B445">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无</w:t>
            </w:r>
          </w:p>
        </w:tc>
      </w:tr>
      <w:tr w14:paraId="75EDDC12">
        <w:tblPrEx>
          <w:tblCellMar>
            <w:top w:w="0" w:type="dxa"/>
            <w:left w:w="108" w:type="dxa"/>
            <w:bottom w:w="0" w:type="dxa"/>
            <w:right w:w="108" w:type="dxa"/>
          </w:tblCellMar>
        </w:tblPrEx>
        <w:trPr>
          <w:trHeight w:val="472" w:hRule="atLeast"/>
        </w:trPr>
        <w:tc>
          <w:tcPr>
            <w:tcW w:w="8539" w:type="dxa"/>
            <w:gridSpan w:val="3"/>
            <w:tcBorders>
              <w:top w:val="single" w:color="auto" w:sz="4" w:space="0"/>
              <w:left w:val="single" w:color="auto" w:sz="4" w:space="0"/>
              <w:bottom w:val="single" w:color="auto" w:sz="4" w:space="0"/>
              <w:right w:val="single" w:color="auto" w:sz="4" w:space="0"/>
            </w:tcBorders>
            <w:vAlign w:val="center"/>
          </w:tcPr>
          <w:p w14:paraId="37962730">
            <w:pPr>
              <w:spacing w:line="440" w:lineRule="exact"/>
              <w:jc w:val="center"/>
              <w:rPr>
                <w:rFonts w:hint="eastAsia" w:ascii="黑体" w:hAnsi="黑体" w:eastAsia="黑体" w:cs="黑体"/>
                <w:color w:val="000000"/>
                <w:sz w:val="21"/>
                <w:szCs w:val="21"/>
                <w:highlight w:val="none"/>
              </w:rPr>
            </w:pPr>
            <w:r>
              <w:rPr>
                <w:rFonts w:hint="eastAsia" w:ascii="黑体" w:hAnsi="黑体" w:eastAsia="黑体" w:cs="黑体"/>
                <w:b/>
                <w:bCs/>
                <w:highlight w:val="none"/>
              </w:rPr>
              <w:t>需要补充的其他内容</w:t>
            </w:r>
          </w:p>
        </w:tc>
      </w:tr>
      <w:tr w14:paraId="465BE329">
        <w:tblPrEx>
          <w:tblCellMar>
            <w:top w:w="0" w:type="dxa"/>
            <w:left w:w="108" w:type="dxa"/>
            <w:bottom w:w="0" w:type="dxa"/>
            <w:right w:w="108" w:type="dxa"/>
          </w:tblCellMar>
        </w:tblPrEx>
        <w:trPr>
          <w:trHeight w:val="605" w:hRule="atLeast"/>
        </w:trPr>
        <w:tc>
          <w:tcPr>
            <w:tcW w:w="918" w:type="dxa"/>
            <w:tcBorders>
              <w:top w:val="single" w:color="auto" w:sz="4" w:space="0"/>
              <w:left w:val="single" w:color="auto" w:sz="4" w:space="0"/>
              <w:bottom w:val="single" w:color="auto" w:sz="4" w:space="0"/>
              <w:right w:val="single" w:color="auto" w:sz="4" w:space="0"/>
            </w:tcBorders>
            <w:vAlign w:val="center"/>
          </w:tcPr>
          <w:p w14:paraId="377896FD">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 xml:space="preserve">9 </w:t>
            </w:r>
          </w:p>
        </w:tc>
        <w:tc>
          <w:tcPr>
            <w:tcW w:w="2128" w:type="dxa"/>
            <w:tcBorders>
              <w:top w:val="single" w:color="auto" w:sz="4" w:space="0"/>
              <w:left w:val="single" w:color="auto" w:sz="4" w:space="0"/>
              <w:bottom w:val="single" w:color="auto" w:sz="4" w:space="0"/>
              <w:right w:val="single" w:color="auto" w:sz="4" w:space="0"/>
            </w:tcBorders>
            <w:vAlign w:val="center"/>
          </w:tcPr>
          <w:p w14:paraId="07AE8DEC">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sz w:val="21"/>
                <w:szCs w:val="21"/>
                <w:highlight w:val="none"/>
              </w:rPr>
              <w:t>电子招标投标</w:t>
            </w:r>
          </w:p>
        </w:tc>
        <w:tc>
          <w:tcPr>
            <w:tcW w:w="5493" w:type="dxa"/>
            <w:tcBorders>
              <w:top w:val="single" w:color="auto" w:sz="4" w:space="0"/>
              <w:left w:val="single" w:color="auto" w:sz="4" w:space="0"/>
              <w:bottom w:val="single" w:color="auto" w:sz="4" w:space="0"/>
              <w:right w:val="single" w:color="auto" w:sz="4" w:space="0"/>
            </w:tcBorders>
            <w:vAlign w:val="center"/>
          </w:tcPr>
          <w:p w14:paraId="46F74B90">
            <w:pPr>
              <w:rPr>
                <w:rFonts w:hint="eastAsia" w:ascii="黑体" w:hAnsi="黑体" w:eastAsia="黑体" w:cs="黑体"/>
                <w:color w:val="000000"/>
                <w:sz w:val="21"/>
                <w:szCs w:val="21"/>
                <w:highlight w:val="none"/>
                <w:lang w:val="en-US" w:eastAsia="zh-CN"/>
              </w:rPr>
            </w:pPr>
            <w:r>
              <w:rPr>
                <w:rFonts w:hint="eastAsia" w:ascii="黑体" w:hAnsi="黑体" w:eastAsia="黑体" w:cs="黑体"/>
                <w:sz w:val="21"/>
                <w:szCs w:val="21"/>
                <w:highlight w:val="none"/>
                <w:lang w:val="en-US" w:eastAsia="zh-CN"/>
              </w:rPr>
              <w:t>否</w:t>
            </w:r>
          </w:p>
        </w:tc>
      </w:tr>
      <w:tr w14:paraId="4A8EAC0A">
        <w:tblPrEx>
          <w:tblCellMar>
            <w:top w:w="0" w:type="dxa"/>
            <w:left w:w="108" w:type="dxa"/>
            <w:bottom w:w="0" w:type="dxa"/>
            <w:right w:w="108" w:type="dxa"/>
          </w:tblCellMar>
        </w:tblPrEx>
        <w:trPr>
          <w:trHeight w:val="1642" w:hRule="atLeast"/>
        </w:trPr>
        <w:tc>
          <w:tcPr>
            <w:tcW w:w="918" w:type="dxa"/>
            <w:tcBorders>
              <w:top w:val="single" w:color="auto" w:sz="4" w:space="0"/>
              <w:left w:val="single" w:color="auto" w:sz="4" w:space="0"/>
              <w:bottom w:val="single" w:color="auto" w:sz="4" w:space="0"/>
              <w:right w:val="single" w:color="auto" w:sz="4" w:space="0"/>
            </w:tcBorders>
            <w:vAlign w:val="center"/>
          </w:tcPr>
          <w:p w14:paraId="351D2B87">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cs="黑体"/>
                <w:color w:val="000000"/>
                <w:sz w:val="21"/>
                <w:szCs w:val="21"/>
                <w:highlight w:val="none"/>
                <w:lang w:val="en-US" w:eastAsia="zh-CN"/>
              </w:rPr>
              <w:t>9.1</w:t>
            </w:r>
          </w:p>
        </w:tc>
        <w:tc>
          <w:tcPr>
            <w:tcW w:w="2128" w:type="dxa"/>
            <w:tcBorders>
              <w:top w:val="single" w:color="auto" w:sz="4" w:space="0"/>
              <w:left w:val="single" w:color="auto" w:sz="4" w:space="0"/>
              <w:bottom w:val="single" w:color="auto" w:sz="4" w:space="0"/>
              <w:right w:val="single" w:color="auto" w:sz="4" w:space="0"/>
            </w:tcBorders>
            <w:vAlign w:val="center"/>
          </w:tcPr>
          <w:p w14:paraId="334FBF99">
            <w:pPr>
              <w:spacing w:line="440" w:lineRule="exact"/>
              <w:jc w:val="center"/>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投标费用说明</w:t>
            </w:r>
          </w:p>
        </w:tc>
        <w:tc>
          <w:tcPr>
            <w:tcW w:w="5493" w:type="dxa"/>
            <w:tcBorders>
              <w:top w:val="single" w:color="auto" w:sz="4" w:space="0"/>
              <w:left w:val="single" w:color="auto" w:sz="4" w:space="0"/>
              <w:bottom w:val="single" w:color="auto" w:sz="4" w:space="0"/>
              <w:right w:val="single" w:color="auto" w:sz="4" w:space="0"/>
            </w:tcBorders>
            <w:vAlign w:val="center"/>
          </w:tcPr>
          <w:p w14:paraId="0C6FF1F4">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供应商参加投标活动发生的费用自理。</w:t>
            </w:r>
          </w:p>
          <w:p w14:paraId="79671A77">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采购代理服务费：由采购人向采购代理机构缴纳。</w:t>
            </w:r>
          </w:p>
          <w:p w14:paraId="182F7522">
            <w:pPr>
              <w:spacing w:line="440" w:lineRule="exact"/>
              <w:jc w:val="left"/>
              <w:rPr>
                <w:rFonts w:hint="default"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val="en-US" w:eastAsia="zh-CN"/>
              </w:rPr>
              <w:t>采购代理服务费金额：3000元整</w:t>
            </w:r>
          </w:p>
        </w:tc>
      </w:tr>
      <w:tr w14:paraId="09CEE659">
        <w:tblPrEx>
          <w:tblCellMar>
            <w:top w:w="0" w:type="dxa"/>
            <w:left w:w="108" w:type="dxa"/>
            <w:bottom w:w="0" w:type="dxa"/>
            <w:right w:w="108" w:type="dxa"/>
          </w:tblCellMar>
        </w:tblPrEx>
        <w:trPr>
          <w:trHeight w:val="946" w:hRule="atLeast"/>
        </w:trPr>
        <w:tc>
          <w:tcPr>
            <w:tcW w:w="918" w:type="dxa"/>
            <w:tcBorders>
              <w:top w:val="single" w:color="auto" w:sz="4" w:space="0"/>
              <w:left w:val="single" w:color="auto" w:sz="4" w:space="0"/>
              <w:bottom w:val="single" w:color="auto" w:sz="4" w:space="0"/>
              <w:right w:val="single" w:color="auto" w:sz="4" w:space="0"/>
            </w:tcBorders>
            <w:vAlign w:val="center"/>
          </w:tcPr>
          <w:p w14:paraId="31D8A832">
            <w:pPr>
              <w:spacing w:line="440" w:lineRule="exact"/>
              <w:jc w:val="center"/>
              <w:rPr>
                <w:rFonts w:hint="default" w:ascii="黑体" w:hAnsi="黑体" w:eastAsia="黑体" w:cs="黑体"/>
                <w:color w:val="000000"/>
                <w:sz w:val="21"/>
                <w:szCs w:val="21"/>
                <w:highlight w:val="none"/>
                <w:lang w:val="en-US" w:eastAsia="zh-CN"/>
              </w:rPr>
            </w:pPr>
            <w:r>
              <w:rPr>
                <w:rFonts w:hint="eastAsia" w:ascii="黑体" w:hAnsi="黑体" w:cs="黑体"/>
                <w:color w:val="000000"/>
                <w:sz w:val="21"/>
                <w:szCs w:val="21"/>
                <w:highlight w:val="none"/>
                <w:lang w:val="en-US" w:eastAsia="zh-CN"/>
              </w:rPr>
              <w:t>9.2</w:t>
            </w:r>
          </w:p>
        </w:tc>
        <w:tc>
          <w:tcPr>
            <w:tcW w:w="2128" w:type="dxa"/>
            <w:tcBorders>
              <w:top w:val="single" w:color="auto" w:sz="4" w:space="0"/>
              <w:left w:val="single" w:color="auto" w:sz="4" w:space="0"/>
              <w:bottom w:val="single" w:color="auto" w:sz="4" w:space="0"/>
              <w:right w:val="single" w:color="auto" w:sz="4" w:space="0"/>
            </w:tcBorders>
            <w:vAlign w:val="center"/>
          </w:tcPr>
          <w:p w14:paraId="20EA329B">
            <w:pPr>
              <w:spacing w:line="440" w:lineRule="exact"/>
              <w:ind w:firstLine="420" w:firstLineChars="200"/>
              <w:jc w:val="both"/>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rPr>
              <w:t>重要提示</w:t>
            </w:r>
          </w:p>
        </w:tc>
        <w:tc>
          <w:tcPr>
            <w:tcW w:w="5493" w:type="dxa"/>
            <w:tcBorders>
              <w:top w:val="single" w:color="auto" w:sz="4" w:space="0"/>
              <w:left w:val="single" w:color="auto" w:sz="4" w:space="0"/>
              <w:bottom w:val="single" w:color="auto" w:sz="4" w:space="0"/>
              <w:right w:val="single" w:color="auto" w:sz="4" w:space="0"/>
            </w:tcBorders>
            <w:vAlign w:val="center"/>
          </w:tcPr>
          <w:p w14:paraId="67672340">
            <w:pPr>
              <w:spacing w:line="440" w:lineRule="exact"/>
              <w:jc w:val="left"/>
              <w:rPr>
                <w:rFonts w:hint="eastAsia" w:ascii="黑体" w:hAnsi="黑体" w:eastAsia="黑体" w:cs="黑体"/>
                <w:color w:val="000000"/>
                <w:sz w:val="21"/>
                <w:szCs w:val="21"/>
                <w:highlight w:val="none"/>
                <w:lang w:val="en-US" w:eastAsia="zh-CN"/>
              </w:rPr>
            </w:pP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须知前附表与</w:t>
            </w:r>
            <w:r>
              <w:rPr>
                <w:rFonts w:hint="eastAsia" w:ascii="黑体" w:hAnsi="黑体" w:eastAsia="黑体" w:cs="黑体"/>
                <w:color w:val="000000"/>
                <w:sz w:val="21"/>
                <w:szCs w:val="21"/>
                <w:highlight w:val="none"/>
                <w:lang w:eastAsia="zh-CN"/>
              </w:rPr>
              <w:t>供应商</w:t>
            </w:r>
            <w:r>
              <w:rPr>
                <w:rFonts w:hint="eastAsia" w:ascii="黑体" w:hAnsi="黑体" w:eastAsia="黑体" w:cs="黑体"/>
                <w:color w:val="000000"/>
                <w:sz w:val="21"/>
                <w:szCs w:val="21"/>
                <w:highlight w:val="none"/>
              </w:rPr>
              <w:t>须知相冲突的，以前附表内容为准。</w:t>
            </w:r>
          </w:p>
        </w:tc>
      </w:tr>
    </w:tbl>
    <w:p w14:paraId="4BE78B76">
      <w:pPr>
        <w:pStyle w:val="4"/>
        <w:pageBreakBefore w:val="0"/>
        <w:numPr>
          <w:ilvl w:val="0"/>
          <w:numId w:val="0"/>
        </w:numPr>
        <w:kinsoku/>
        <w:wordWrap/>
        <w:overflowPunct/>
        <w:topLinePunct w:val="0"/>
        <w:autoSpaceDE/>
        <w:autoSpaceDN/>
        <w:bidi w:val="0"/>
        <w:spacing w:line="360" w:lineRule="auto"/>
        <w:jc w:val="left"/>
        <w:textAlignment w:val="auto"/>
        <w:rPr>
          <w:rFonts w:hint="eastAsia" w:ascii="黑体" w:hAnsi="黑体" w:eastAsia="黑体" w:cs="黑体"/>
          <w:color w:val="000000"/>
          <w:sz w:val="24"/>
          <w:szCs w:val="24"/>
          <w:highlight w:val="none"/>
        </w:rPr>
        <w:sectPr>
          <w:footerReference r:id="rId4" w:type="default"/>
          <w:pgSz w:w="11906" w:h="16838"/>
          <w:pgMar w:top="1134" w:right="866" w:bottom="1134"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2287D80">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ascii="黑体" w:hAnsi="黑体" w:eastAsia="黑体" w:cs="黑体"/>
          <w:b/>
          <w:bCs/>
          <w:color w:val="000000"/>
          <w:sz w:val="24"/>
          <w:szCs w:val="24"/>
          <w:highlight w:val="none"/>
        </w:rPr>
      </w:pPr>
      <w:bookmarkStart w:id="9" w:name="_Toc3875"/>
      <w:r>
        <w:rPr>
          <w:rFonts w:hint="eastAsia" w:ascii="黑体" w:hAnsi="黑体" w:eastAsia="黑体" w:cs="黑体"/>
          <w:b/>
          <w:bCs/>
          <w:color w:val="000000"/>
          <w:sz w:val="24"/>
          <w:szCs w:val="24"/>
          <w:highlight w:val="none"/>
        </w:rPr>
        <w:t>1. 总则</w:t>
      </w:r>
      <w:bookmarkEnd w:id="9"/>
    </w:p>
    <w:p w14:paraId="610F75C0">
      <w:pPr>
        <w:pStyle w:val="5"/>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rPr>
      </w:pPr>
      <w:bookmarkStart w:id="10" w:name="_Toc492300354"/>
      <w:bookmarkEnd w:id="10"/>
      <w:bookmarkStart w:id="11" w:name="_Toc16993"/>
      <w:r>
        <w:rPr>
          <w:rFonts w:hint="eastAsia" w:ascii="黑体" w:hAnsi="黑体" w:eastAsia="黑体" w:cs="黑体"/>
          <w:b/>
          <w:bCs/>
          <w:color w:val="000000"/>
          <w:sz w:val="24"/>
          <w:szCs w:val="24"/>
          <w:highlight w:val="none"/>
        </w:rPr>
        <w:t xml:space="preserve">1.1 </w:t>
      </w:r>
      <w:r>
        <w:rPr>
          <w:rFonts w:hint="eastAsia" w:ascii="黑体" w:hAnsi="黑体" w:eastAsia="黑体" w:cs="黑体"/>
          <w:b/>
          <w:bCs/>
          <w:color w:val="000000"/>
          <w:sz w:val="24"/>
          <w:szCs w:val="24"/>
          <w:highlight w:val="none"/>
          <w:lang w:eastAsia="zh-CN"/>
        </w:rPr>
        <w:t>项目</w:t>
      </w:r>
      <w:r>
        <w:rPr>
          <w:rFonts w:hint="eastAsia" w:ascii="黑体" w:hAnsi="黑体" w:eastAsia="黑体" w:cs="黑体"/>
          <w:b/>
          <w:bCs/>
          <w:color w:val="000000"/>
          <w:sz w:val="24"/>
          <w:szCs w:val="24"/>
          <w:highlight w:val="none"/>
        </w:rPr>
        <w:t>概况</w:t>
      </w:r>
      <w:bookmarkEnd w:id="11"/>
    </w:p>
    <w:p w14:paraId="0E162FD9">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1.1.1根据《中华人民共和国政府采购法》、《中华人民共和国政府采购法实施条例》、《政府采购竞争性磋商采购方式管理暂行办法》等有关法律、法规和规章的规定，本</w:t>
      </w:r>
      <w:r>
        <w:rPr>
          <w:rFonts w:hint="eastAsia" w:ascii="黑体" w:hAnsi="黑体" w:eastAsia="黑体" w:cs="黑体"/>
          <w:color w:val="000000"/>
          <w:sz w:val="24"/>
          <w:szCs w:val="24"/>
          <w:highlight w:val="none"/>
          <w:lang w:eastAsia="zh-CN"/>
        </w:rPr>
        <w:t>项目</w:t>
      </w:r>
      <w:r>
        <w:rPr>
          <w:rFonts w:hint="eastAsia" w:ascii="黑体" w:hAnsi="黑体" w:eastAsia="黑体" w:cs="黑体"/>
          <w:color w:val="000000"/>
          <w:sz w:val="24"/>
          <w:szCs w:val="24"/>
          <w:highlight w:val="none"/>
        </w:rPr>
        <w:t>已具备</w:t>
      </w:r>
      <w:r>
        <w:rPr>
          <w:rFonts w:hint="eastAsia" w:ascii="黑体" w:hAnsi="黑体" w:eastAsia="黑体" w:cs="黑体"/>
          <w:color w:val="000000"/>
          <w:sz w:val="24"/>
          <w:szCs w:val="24"/>
          <w:highlight w:val="none"/>
          <w:lang w:eastAsia="zh-CN"/>
        </w:rPr>
        <w:t>采购条件</w:t>
      </w:r>
      <w:r>
        <w:rPr>
          <w:rFonts w:hint="eastAsia" w:ascii="黑体" w:hAnsi="黑体" w:eastAsia="黑体" w:cs="黑体"/>
          <w:color w:val="000000"/>
          <w:sz w:val="24"/>
          <w:szCs w:val="24"/>
          <w:highlight w:val="none"/>
        </w:rPr>
        <w:t>，现进行</w:t>
      </w:r>
      <w:r>
        <w:rPr>
          <w:rFonts w:hint="eastAsia" w:ascii="黑体" w:hAnsi="黑体" w:eastAsia="黑体" w:cs="黑体"/>
          <w:color w:val="000000"/>
          <w:sz w:val="24"/>
          <w:szCs w:val="24"/>
          <w:highlight w:val="none"/>
          <w:lang w:val="en-US" w:eastAsia="zh-CN"/>
        </w:rPr>
        <w:t>采购</w:t>
      </w:r>
      <w:r>
        <w:rPr>
          <w:rFonts w:hint="eastAsia" w:ascii="黑体" w:hAnsi="黑体" w:eastAsia="黑体" w:cs="黑体"/>
          <w:color w:val="000000"/>
          <w:sz w:val="24"/>
          <w:szCs w:val="24"/>
          <w:highlight w:val="none"/>
        </w:rPr>
        <w:t>。</w:t>
      </w:r>
    </w:p>
    <w:p w14:paraId="5D880598">
      <w:pPr>
        <w:pageBreakBefore w:val="0"/>
        <w:kinsoku/>
        <w:wordWrap/>
        <w:overflowPunct/>
        <w:topLinePunct w:val="0"/>
        <w:autoSpaceDE/>
        <w:autoSpaceDN/>
        <w:bidi w:val="0"/>
        <w:spacing w:line="360" w:lineRule="auto"/>
        <w:ind w:left="0" w:firstLine="480" w:firstLineChars="200"/>
        <w:jc w:val="left"/>
        <w:textAlignment w:val="auto"/>
        <w:rPr>
          <w:rFonts w:hint="default" w:ascii="黑体" w:hAnsi="黑体" w:eastAsia="黑体" w:cs="黑体"/>
          <w:color w:val="000000"/>
          <w:sz w:val="24"/>
          <w:szCs w:val="24"/>
          <w:highlight w:val="none"/>
          <w:lang w:val="en-US"/>
        </w:rPr>
      </w:pPr>
      <w:r>
        <w:rPr>
          <w:rFonts w:hint="eastAsia" w:ascii="黑体" w:hAnsi="黑体" w:eastAsia="黑体" w:cs="黑体"/>
          <w:color w:val="000000"/>
          <w:sz w:val="24"/>
          <w:szCs w:val="24"/>
          <w:highlight w:val="none"/>
        </w:rPr>
        <w:t xml:space="preserve">1.1.2 </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val="en-US" w:eastAsia="zh-CN"/>
        </w:rPr>
        <w:t>乌海市检验检测中心</w:t>
      </w:r>
    </w:p>
    <w:p w14:paraId="0401965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1.1.3 </w:t>
      </w:r>
      <w:r>
        <w:rPr>
          <w:rFonts w:hint="eastAsia" w:ascii="黑体" w:hAnsi="黑体" w:eastAsia="黑体" w:cs="黑体"/>
          <w:color w:val="000000"/>
          <w:sz w:val="24"/>
          <w:szCs w:val="24"/>
          <w:highlight w:val="none"/>
          <w:lang w:eastAsia="zh-CN"/>
        </w:rPr>
        <w:t>采购代理机构</w:t>
      </w:r>
      <w:r>
        <w:rPr>
          <w:rFonts w:hint="eastAsia" w:ascii="黑体" w:hAnsi="黑体" w:eastAsia="黑体" w:cs="黑体"/>
          <w:color w:val="000000"/>
          <w:sz w:val="24"/>
          <w:szCs w:val="24"/>
          <w:highlight w:val="none"/>
        </w:rPr>
        <w:t>：</w:t>
      </w:r>
      <w:r>
        <w:rPr>
          <w:rFonts w:hint="eastAsia" w:ascii="黑体" w:hAnsi="黑体" w:eastAsia="黑体" w:cs="黑体"/>
          <w:sz w:val="24"/>
          <w:szCs w:val="24"/>
          <w:highlight w:val="none"/>
        </w:rPr>
        <w:t>内蒙古元沣工程项目管理有限公司</w:t>
      </w:r>
    </w:p>
    <w:p w14:paraId="6A91BFA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color w:val="000000"/>
          <w:sz w:val="24"/>
          <w:szCs w:val="24"/>
          <w:highlight w:val="none"/>
        </w:rPr>
        <w:t xml:space="preserve">1.1.4 </w:t>
      </w:r>
      <w:r>
        <w:rPr>
          <w:rFonts w:hint="eastAsia" w:ascii="黑体" w:hAnsi="黑体" w:eastAsia="黑体" w:cs="黑体"/>
          <w:sz w:val="24"/>
          <w:szCs w:val="24"/>
          <w:highlight w:val="none"/>
        </w:rPr>
        <w:t>项目名称：</w:t>
      </w:r>
      <w:r>
        <w:rPr>
          <w:rFonts w:hint="eastAsia" w:ascii="黑体" w:hAnsi="黑体" w:eastAsia="黑体" w:cs="黑体"/>
          <w:sz w:val="24"/>
          <w:szCs w:val="24"/>
          <w:highlight w:val="none"/>
          <w:lang w:val="en-US" w:eastAsia="zh-CN"/>
        </w:rPr>
        <w:t>BDO产业产品质量检测中心建设仪器采购项目</w:t>
      </w:r>
    </w:p>
    <w:p w14:paraId="64E6002F">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1.1.5 项目地点：</w:t>
      </w:r>
      <w:r>
        <w:rPr>
          <w:rFonts w:hint="eastAsia" w:ascii="黑体" w:hAnsi="黑体" w:eastAsia="黑体" w:cs="黑体"/>
          <w:sz w:val="24"/>
          <w:szCs w:val="24"/>
          <w:highlight w:val="none"/>
          <w:lang w:val="en-US" w:eastAsia="zh-CN"/>
        </w:rPr>
        <w:t>乌海市海勃湾区</w:t>
      </w:r>
    </w:p>
    <w:p w14:paraId="2A1EC666">
      <w:pPr>
        <w:pageBreakBefore w:val="0"/>
        <w:kinsoku/>
        <w:wordWrap/>
        <w:overflowPunct/>
        <w:topLinePunct w:val="0"/>
        <w:autoSpaceDE/>
        <w:autoSpaceDN/>
        <w:bidi w:val="0"/>
        <w:spacing w:line="360" w:lineRule="auto"/>
        <w:ind w:left="0" w:firstLine="480" w:firstLineChars="200"/>
        <w:jc w:val="left"/>
        <w:textAlignment w:val="auto"/>
        <w:rPr>
          <w:rFonts w:hint="default" w:ascii="黑体" w:hAnsi="黑体" w:eastAsia="黑体" w:cs="黑体"/>
          <w:sz w:val="24"/>
          <w:szCs w:val="24"/>
          <w:highlight w:val="none"/>
          <w:lang w:val="en-US" w:eastAsia="zh-CN"/>
        </w:rPr>
      </w:pPr>
      <w:r>
        <w:rPr>
          <w:rFonts w:hint="eastAsia" w:ascii="黑体" w:hAnsi="黑体" w:eastAsia="黑体" w:cs="黑体"/>
          <w:sz w:val="24"/>
          <w:szCs w:val="24"/>
          <w:highlight w:val="none"/>
        </w:rPr>
        <w:t xml:space="preserve">1.1.6 </w:t>
      </w:r>
      <w:r>
        <w:rPr>
          <w:rFonts w:hint="eastAsia" w:ascii="黑体" w:hAnsi="黑体" w:eastAsia="黑体" w:cs="黑体"/>
          <w:sz w:val="24"/>
          <w:szCs w:val="24"/>
          <w:highlight w:val="none"/>
          <w:lang w:eastAsia="zh-CN"/>
        </w:rPr>
        <w:t>项目概况</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乌海市检验检测中心拟采购4台仪器设备</w:t>
      </w:r>
    </w:p>
    <w:p w14:paraId="1F48DCB4">
      <w:pPr>
        <w:pStyle w:val="5"/>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val="0"/>
          <w:color w:val="000000"/>
          <w:sz w:val="24"/>
          <w:szCs w:val="24"/>
          <w:highlight w:val="none"/>
        </w:rPr>
      </w:pPr>
      <w:bookmarkStart w:id="12" w:name="_Toc492300355"/>
      <w:bookmarkEnd w:id="12"/>
      <w:bookmarkStart w:id="13" w:name="_Toc14999"/>
      <w:r>
        <w:rPr>
          <w:rFonts w:hint="eastAsia" w:ascii="黑体" w:hAnsi="黑体" w:eastAsia="黑体" w:cs="黑体"/>
          <w:b/>
          <w:bCs w:val="0"/>
          <w:color w:val="000000"/>
          <w:sz w:val="24"/>
          <w:szCs w:val="24"/>
          <w:highlight w:val="none"/>
        </w:rPr>
        <w:t xml:space="preserve">1.2 </w:t>
      </w:r>
      <w:r>
        <w:rPr>
          <w:rFonts w:hint="eastAsia" w:ascii="黑体" w:hAnsi="黑体" w:eastAsia="黑体" w:cs="黑体"/>
          <w:b/>
          <w:bCs w:val="0"/>
          <w:color w:val="000000"/>
          <w:sz w:val="24"/>
          <w:szCs w:val="24"/>
          <w:highlight w:val="none"/>
          <w:lang w:eastAsia="zh-CN"/>
        </w:rPr>
        <w:t>项目</w:t>
      </w:r>
      <w:r>
        <w:rPr>
          <w:rFonts w:hint="eastAsia" w:ascii="黑体" w:hAnsi="黑体" w:eastAsia="黑体" w:cs="黑体"/>
          <w:b/>
          <w:bCs w:val="0"/>
          <w:color w:val="000000"/>
          <w:sz w:val="24"/>
          <w:szCs w:val="24"/>
          <w:highlight w:val="none"/>
        </w:rPr>
        <w:t>的资金来源和落实情况</w:t>
      </w:r>
      <w:bookmarkEnd w:id="13"/>
    </w:p>
    <w:p w14:paraId="692512B9">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1.2.1 资金来源：</w:t>
      </w:r>
      <w:r>
        <w:rPr>
          <w:rFonts w:hint="eastAsia" w:ascii="黑体" w:hAnsi="黑体" w:eastAsia="黑体" w:cs="黑体"/>
          <w:color w:val="000000"/>
          <w:sz w:val="24"/>
          <w:szCs w:val="24"/>
          <w:highlight w:val="none"/>
          <w:lang w:val="en-US" w:eastAsia="zh-CN"/>
        </w:rPr>
        <w:t>财政专项资金</w:t>
      </w:r>
      <w:r>
        <w:rPr>
          <w:rFonts w:hint="eastAsia" w:ascii="黑体" w:hAnsi="黑体" w:eastAsia="黑体" w:cs="黑体"/>
          <w:color w:val="000000"/>
          <w:sz w:val="24"/>
          <w:szCs w:val="24"/>
          <w:highlight w:val="none"/>
        </w:rPr>
        <w:t>。</w:t>
      </w:r>
    </w:p>
    <w:p w14:paraId="3DB5C3F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1.2.2 资金落实情况：</w:t>
      </w:r>
      <w:r>
        <w:rPr>
          <w:rFonts w:hint="eastAsia" w:ascii="黑体" w:hAnsi="黑体" w:eastAsia="黑体" w:cs="黑体"/>
          <w:color w:val="000000"/>
          <w:sz w:val="24"/>
          <w:szCs w:val="24"/>
          <w:highlight w:val="none"/>
          <w:lang w:val="en-US" w:eastAsia="zh-CN"/>
        </w:rPr>
        <w:t>已落实</w:t>
      </w:r>
      <w:r>
        <w:rPr>
          <w:rFonts w:hint="eastAsia" w:ascii="黑体" w:hAnsi="黑体" w:eastAsia="黑体" w:cs="黑体"/>
          <w:color w:val="000000"/>
          <w:sz w:val="24"/>
          <w:szCs w:val="24"/>
          <w:highlight w:val="none"/>
        </w:rPr>
        <w:t>。</w:t>
      </w:r>
    </w:p>
    <w:p w14:paraId="7F3192E1">
      <w:pPr>
        <w:pStyle w:val="5"/>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val="0"/>
          <w:color w:val="000000"/>
          <w:sz w:val="24"/>
          <w:szCs w:val="24"/>
          <w:highlight w:val="none"/>
        </w:rPr>
      </w:pPr>
      <w:bookmarkStart w:id="14" w:name="_Toc492300356"/>
      <w:bookmarkEnd w:id="14"/>
      <w:bookmarkStart w:id="15" w:name="_Toc32277"/>
      <w:r>
        <w:rPr>
          <w:rFonts w:hint="eastAsia" w:ascii="黑体" w:hAnsi="黑体" w:eastAsia="黑体" w:cs="黑体"/>
          <w:b/>
          <w:bCs w:val="0"/>
          <w:color w:val="000000"/>
          <w:sz w:val="24"/>
          <w:szCs w:val="24"/>
          <w:highlight w:val="none"/>
        </w:rPr>
        <w:t>1.3</w:t>
      </w:r>
      <w:r>
        <w:rPr>
          <w:rFonts w:hint="eastAsia" w:ascii="黑体" w:hAnsi="黑体" w:eastAsia="黑体" w:cs="黑体"/>
          <w:b/>
          <w:bCs w:val="0"/>
          <w:color w:val="000000"/>
          <w:sz w:val="24"/>
          <w:szCs w:val="24"/>
          <w:highlight w:val="none"/>
          <w:lang w:eastAsia="zh-CN"/>
        </w:rPr>
        <w:t>采购范围</w:t>
      </w:r>
      <w:r>
        <w:rPr>
          <w:rFonts w:hint="eastAsia" w:ascii="黑体" w:hAnsi="黑体" w:eastAsia="黑体" w:cs="黑体"/>
          <w:b/>
          <w:bCs w:val="0"/>
          <w:color w:val="000000"/>
          <w:sz w:val="24"/>
          <w:szCs w:val="24"/>
          <w:highlight w:val="none"/>
        </w:rPr>
        <w:t>、服务期限和质量标准</w:t>
      </w:r>
      <w:bookmarkEnd w:id="15"/>
    </w:p>
    <w:p w14:paraId="7F656A8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rPr>
        <w:t xml:space="preserve">1.3.1 </w:t>
      </w:r>
      <w:r>
        <w:rPr>
          <w:rFonts w:hint="eastAsia" w:ascii="黑体" w:hAnsi="黑体" w:eastAsia="黑体" w:cs="黑体"/>
          <w:color w:val="000000"/>
          <w:sz w:val="24"/>
          <w:szCs w:val="24"/>
          <w:highlight w:val="none"/>
          <w:lang w:eastAsia="zh-CN"/>
        </w:rPr>
        <w:t>采购范围</w:t>
      </w:r>
      <w:r>
        <w:rPr>
          <w:rFonts w:hint="eastAsia" w:ascii="黑体" w:hAnsi="黑体" w:eastAsia="黑体" w:cs="黑体"/>
          <w:color w:val="000000"/>
          <w:sz w:val="24"/>
          <w:szCs w:val="24"/>
          <w:highlight w:val="none"/>
        </w:rPr>
        <w:t>：</w:t>
      </w:r>
      <w:r>
        <w:rPr>
          <w:rFonts w:hint="eastAsia" w:ascii="黑体" w:hAnsi="黑体" w:eastAsia="黑体" w:cs="黑体"/>
          <w:sz w:val="24"/>
          <w:szCs w:val="24"/>
          <w:highlight w:val="none"/>
          <w:lang w:val="en-US" w:eastAsia="zh-CN"/>
        </w:rPr>
        <w:t>仪器设备的采购、安装及调试</w:t>
      </w:r>
      <w:r>
        <w:rPr>
          <w:rFonts w:hint="eastAsia" w:ascii="黑体" w:hAnsi="黑体" w:eastAsia="黑体" w:cs="黑体"/>
          <w:color w:val="000000"/>
          <w:sz w:val="24"/>
          <w:szCs w:val="24"/>
          <w:highlight w:val="none"/>
          <w:lang w:val="en-US" w:eastAsia="zh-CN"/>
        </w:rPr>
        <w:t>，具体内容及要求详见磋商文件。</w:t>
      </w:r>
    </w:p>
    <w:p w14:paraId="101EACA2">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rPr>
        <w:t>1.3.2</w:t>
      </w:r>
      <w:r>
        <w:rPr>
          <w:rFonts w:hint="eastAsia" w:ascii="黑体" w:hAnsi="黑体" w:eastAsia="黑体" w:cs="黑体"/>
          <w:color w:val="000000"/>
          <w:sz w:val="24"/>
          <w:szCs w:val="24"/>
          <w:highlight w:val="none"/>
          <w:lang w:val="en-US" w:eastAsia="zh-CN"/>
        </w:rPr>
        <w:t xml:space="preserve"> 交货及安装周期要求：45日历天</w:t>
      </w:r>
    </w:p>
    <w:p w14:paraId="0A767BA9">
      <w:pPr>
        <w:widowControl/>
        <w:spacing w:line="480" w:lineRule="auto"/>
        <w:ind w:firstLine="480" w:firstLineChars="200"/>
        <w:jc w:val="left"/>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rPr>
        <w:t xml:space="preserve">1.3.3 </w:t>
      </w:r>
      <w:r>
        <w:rPr>
          <w:rFonts w:hint="eastAsia" w:ascii="黑体" w:hAnsi="黑体" w:eastAsia="黑体" w:cs="黑体"/>
          <w:color w:val="000000"/>
          <w:sz w:val="24"/>
          <w:szCs w:val="24"/>
          <w:highlight w:val="none"/>
          <w:lang w:val="en-US" w:eastAsia="zh-CN"/>
        </w:rPr>
        <w:t>质量标准：符合国家、行业质量合格标准</w:t>
      </w:r>
    </w:p>
    <w:p w14:paraId="5DC223EF">
      <w:pPr>
        <w:pStyle w:val="11"/>
        <w:rPr>
          <w:rFonts w:hint="default"/>
          <w:lang w:val="en-US"/>
        </w:rPr>
      </w:pPr>
      <w:r>
        <w:rPr>
          <w:rFonts w:hint="eastAsia" w:ascii="黑体" w:hAnsi="黑体" w:eastAsia="黑体" w:cs="黑体"/>
          <w:color w:val="000000"/>
          <w:sz w:val="24"/>
          <w:szCs w:val="24"/>
          <w:highlight w:val="none"/>
          <w:lang w:val="en-US" w:eastAsia="zh-CN"/>
        </w:rPr>
        <w:t xml:space="preserve">    1.3.4 质保期：一年</w:t>
      </w:r>
    </w:p>
    <w:p w14:paraId="0F522D1A">
      <w:pPr>
        <w:pStyle w:val="5"/>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val="0"/>
          <w:color w:val="000000"/>
          <w:sz w:val="24"/>
          <w:szCs w:val="24"/>
          <w:highlight w:val="none"/>
        </w:rPr>
      </w:pPr>
      <w:bookmarkStart w:id="16" w:name="_Toc492300357"/>
      <w:bookmarkEnd w:id="16"/>
      <w:bookmarkStart w:id="17" w:name="_Toc18792"/>
      <w:r>
        <w:rPr>
          <w:rFonts w:hint="eastAsia" w:ascii="黑体" w:hAnsi="黑体" w:eastAsia="黑体" w:cs="黑体"/>
          <w:b/>
          <w:bCs w:val="0"/>
          <w:color w:val="000000"/>
          <w:sz w:val="24"/>
          <w:szCs w:val="24"/>
          <w:highlight w:val="none"/>
        </w:rPr>
        <w:t>1.4</w:t>
      </w:r>
      <w:r>
        <w:rPr>
          <w:rFonts w:hint="eastAsia" w:ascii="黑体" w:hAnsi="黑体" w:eastAsia="黑体" w:cs="黑体"/>
          <w:b/>
          <w:bCs w:val="0"/>
          <w:color w:val="000000"/>
          <w:sz w:val="24"/>
          <w:szCs w:val="24"/>
          <w:highlight w:val="none"/>
          <w:lang w:eastAsia="zh-CN"/>
        </w:rPr>
        <w:t>供应商</w:t>
      </w:r>
      <w:r>
        <w:rPr>
          <w:rFonts w:hint="eastAsia" w:ascii="黑体" w:hAnsi="黑体" w:eastAsia="黑体" w:cs="黑体"/>
          <w:b/>
          <w:bCs w:val="0"/>
          <w:color w:val="000000"/>
          <w:sz w:val="24"/>
          <w:szCs w:val="24"/>
          <w:highlight w:val="none"/>
        </w:rPr>
        <w:t>资格要求</w:t>
      </w:r>
      <w:bookmarkEnd w:id="17"/>
    </w:p>
    <w:p w14:paraId="5FB42C1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1.4.1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应具备承担本</w:t>
      </w:r>
      <w:r>
        <w:rPr>
          <w:rFonts w:hint="eastAsia" w:ascii="黑体" w:hAnsi="黑体" w:eastAsia="黑体" w:cs="黑体"/>
          <w:color w:val="000000"/>
          <w:sz w:val="24"/>
          <w:szCs w:val="24"/>
          <w:highlight w:val="none"/>
          <w:lang w:eastAsia="zh-CN"/>
        </w:rPr>
        <w:t>项目</w:t>
      </w:r>
      <w:r>
        <w:rPr>
          <w:rFonts w:hint="eastAsia" w:ascii="黑体" w:hAnsi="黑体" w:eastAsia="黑体" w:cs="黑体"/>
          <w:color w:val="000000"/>
          <w:sz w:val="24"/>
          <w:szCs w:val="24"/>
          <w:highlight w:val="none"/>
        </w:rPr>
        <w:t>资质条件、能力和信誉：</w:t>
      </w:r>
    </w:p>
    <w:p w14:paraId="70723B3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供应商应符合《中华人民共和国政府采购法》第二十二条规定的条件。</w:t>
      </w:r>
    </w:p>
    <w:p w14:paraId="69F87D3F">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（1）供应商具有中华人民共和国独立法人资格且为中小微企业，持有有效的营业执照或事业单位法人证书，具有独立承担民事责任的能力。</w:t>
      </w:r>
    </w:p>
    <w:p w14:paraId="0721ADAA">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（2）具有履行合同所必需的设备和专业技术能力。</w:t>
      </w:r>
    </w:p>
    <w:p w14:paraId="678CFC20">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（3）供应商具有良好的商业信誉和健全的财务会计制度。</w:t>
      </w:r>
    </w:p>
    <w:p w14:paraId="60E01026">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（4）供应商具有依法缴纳税收和社会保障资金的良好记录。</w:t>
      </w:r>
    </w:p>
    <w:p w14:paraId="5F7FC6F7">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（5）供应商参加政府采购活动前三年内，在经营活动中没有重大违法记录。</w:t>
      </w:r>
    </w:p>
    <w:p w14:paraId="3A93FEA3">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（6）不存在法律、行政法规规定的其他条件。</w:t>
      </w:r>
    </w:p>
    <w:p w14:paraId="64123EF9">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7）落实诚信信息使用机制，依据中共中央办公厅、国务院办公厅印发《关于加快推进失信被执行人信用监督、警示和惩戒机制建设的意见》，供应商未被“信用中国”列入失信被执行人名单；在“国家企业信用信息公示系统”中未被列入严重违法失信名单；在“中国政府采购网”中未被列入政府采购严重违法失信行为记录名单。</w:t>
      </w:r>
    </w:p>
    <w:p w14:paraId="07864983">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（8）本次招标不接受联合体投标。</w:t>
      </w:r>
    </w:p>
    <w:p w14:paraId="3F0D4B13">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sz w:val="24"/>
          <w:szCs w:val="24"/>
          <w:highlight w:val="none"/>
        </w:rPr>
        <w:t>1.4.2</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须知前附表规定接受联合体投标的，</w:t>
      </w:r>
      <w:r>
        <w:rPr>
          <w:rFonts w:hint="eastAsia" w:ascii="黑体" w:hAnsi="黑体" w:eastAsia="黑体" w:cs="黑体"/>
          <w:color w:val="000000"/>
          <w:sz w:val="24"/>
          <w:szCs w:val="24"/>
          <w:highlight w:val="none"/>
        </w:rPr>
        <w:t>联合体除应符合本章第1.4.1项和</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须知前附表的要求外，还应遵守以下规定：</w:t>
      </w:r>
    </w:p>
    <w:p w14:paraId="6B0A5802">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（1）联合体各方应按</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提供的格式签订联合体协议书，明确联合体牵头人和各方权利义务，并承诺就中标项目向</w:t>
      </w:r>
      <w:r>
        <w:rPr>
          <w:rFonts w:hint="eastAsia" w:ascii="黑体" w:hAnsi="黑体" w:eastAsia="黑体" w:cs="黑体"/>
          <w:sz w:val="24"/>
          <w:szCs w:val="24"/>
          <w:highlight w:val="none"/>
          <w:lang w:eastAsia="zh-CN"/>
        </w:rPr>
        <w:t>采购人</w:t>
      </w:r>
      <w:r>
        <w:rPr>
          <w:rFonts w:hint="eastAsia" w:ascii="黑体" w:hAnsi="黑体" w:eastAsia="黑体" w:cs="黑体"/>
          <w:sz w:val="24"/>
          <w:szCs w:val="24"/>
          <w:highlight w:val="none"/>
        </w:rPr>
        <w:t>承担连带责任；</w:t>
      </w:r>
    </w:p>
    <w:p w14:paraId="1E33002C">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（2）由同一专业的单位组成的联合体，按照资质等级较低的单位确定资质等级；</w:t>
      </w:r>
    </w:p>
    <w:p w14:paraId="40084D35">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（3）联合体各方不得再以自己名义单独或参加其他联合体在本</w:t>
      </w:r>
      <w:r>
        <w:rPr>
          <w:rFonts w:hint="eastAsia" w:ascii="黑体" w:hAnsi="黑体" w:eastAsia="黑体" w:cs="黑体"/>
          <w:sz w:val="24"/>
          <w:szCs w:val="24"/>
          <w:highlight w:val="none"/>
          <w:lang w:eastAsia="zh-CN"/>
        </w:rPr>
        <w:t>项目</w:t>
      </w:r>
      <w:r>
        <w:rPr>
          <w:rFonts w:hint="eastAsia" w:ascii="黑体" w:hAnsi="黑体" w:eastAsia="黑体" w:cs="黑体"/>
          <w:sz w:val="24"/>
          <w:szCs w:val="24"/>
          <w:highlight w:val="none"/>
        </w:rPr>
        <w:t>中投标，否则各相关投标均无效。</w:t>
      </w:r>
    </w:p>
    <w:p w14:paraId="1E27170F">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1.4.3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不得存在下列情形之一：</w:t>
      </w:r>
    </w:p>
    <w:p w14:paraId="21719C7D">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（1）为</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不具有独立法人资格的附属机构（单位）；</w:t>
      </w:r>
    </w:p>
    <w:p w14:paraId="76BDAC5A">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存在利害关系且可能影响招标公正性；</w:t>
      </w:r>
    </w:p>
    <w:p w14:paraId="73471BD5">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（3）与本</w:t>
      </w:r>
      <w:r>
        <w:rPr>
          <w:rFonts w:hint="eastAsia" w:ascii="黑体" w:hAnsi="黑体" w:eastAsia="黑体" w:cs="黑体"/>
          <w:color w:val="000000"/>
          <w:sz w:val="24"/>
          <w:szCs w:val="24"/>
          <w:highlight w:val="none"/>
          <w:lang w:eastAsia="zh-CN"/>
        </w:rPr>
        <w:t>项目</w:t>
      </w:r>
      <w:r>
        <w:rPr>
          <w:rFonts w:hint="eastAsia" w:ascii="黑体" w:hAnsi="黑体" w:eastAsia="黑体" w:cs="黑体"/>
          <w:color w:val="000000"/>
          <w:sz w:val="24"/>
          <w:szCs w:val="24"/>
          <w:highlight w:val="none"/>
        </w:rPr>
        <w:t>的其他</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为同一个单位负责人；</w:t>
      </w:r>
    </w:p>
    <w:p w14:paraId="7167B998">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（4）与本</w:t>
      </w:r>
      <w:r>
        <w:rPr>
          <w:rFonts w:hint="eastAsia" w:ascii="黑体" w:hAnsi="黑体" w:eastAsia="黑体" w:cs="黑体"/>
          <w:color w:val="000000"/>
          <w:sz w:val="24"/>
          <w:szCs w:val="24"/>
          <w:highlight w:val="none"/>
          <w:lang w:eastAsia="zh-CN"/>
        </w:rPr>
        <w:t>项目</w:t>
      </w:r>
      <w:r>
        <w:rPr>
          <w:rFonts w:hint="eastAsia" w:ascii="黑体" w:hAnsi="黑体" w:eastAsia="黑体" w:cs="黑体"/>
          <w:color w:val="000000"/>
          <w:sz w:val="24"/>
          <w:szCs w:val="24"/>
          <w:highlight w:val="none"/>
        </w:rPr>
        <w:t>的其他</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存在控股、管理关系；</w:t>
      </w:r>
    </w:p>
    <w:p w14:paraId="76A11CAA">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lang w:eastAsia="zh-CN"/>
        </w:rPr>
        <w:t>（5）为本项目的代建人；</w:t>
      </w:r>
    </w:p>
    <w:p w14:paraId="4F68DA15">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lang w:eastAsia="zh-CN"/>
        </w:rPr>
        <w:t>（6）为本项目的采购代理机构；</w:t>
      </w:r>
    </w:p>
    <w:p w14:paraId="00D7092F">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lang w:eastAsia="zh-CN"/>
        </w:rPr>
        <w:t>（7）与本项目的代建人或采购代理机构同为一个法定代表人；</w:t>
      </w:r>
    </w:p>
    <w:p w14:paraId="36F2D760">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lang w:eastAsia="zh-CN"/>
        </w:rPr>
        <w:t>（8）与本项目的代建人或采购代理机构存在控股或参股关系；</w:t>
      </w:r>
    </w:p>
    <w:p w14:paraId="2D5DFAAD">
      <w:pPr>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lang w:eastAsia="zh-CN"/>
        </w:rPr>
        <w:t>（9）被依法暂停或者取消投标资格；</w:t>
      </w:r>
    </w:p>
    <w:p w14:paraId="06A7DBD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（10）被责令停产停业、暂扣或者吊销许可证、暂扣或者吊销执照；</w:t>
      </w:r>
    </w:p>
    <w:p w14:paraId="4FB1E752">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（11）进入清算程序，或被宣告破产，或其他丧失履约能力的情形；</w:t>
      </w:r>
    </w:p>
    <w:p w14:paraId="21CAEF99">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（12）在最近三年内发生重大质量问题（以相关行业主管部门的行政处罚决定或司法机关出具的有关法律文书为准）；</w:t>
      </w:r>
    </w:p>
    <w:p w14:paraId="23E625D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（13）被工商行政管理机关在全国企业信用信息公示系统中列入</w:t>
      </w:r>
      <w:r>
        <w:rPr>
          <w:rFonts w:hint="eastAsia" w:ascii="黑体" w:hAnsi="黑体" w:eastAsia="黑体" w:cs="黑体"/>
          <w:color w:val="000000"/>
          <w:sz w:val="24"/>
          <w:szCs w:val="24"/>
          <w:highlight w:val="none"/>
          <w:lang w:eastAsia="zh-CN"/>
        </w:rPr>
        <w:t>严重违法失信名单</w:t>
      </w:r>
      <w:r>
        <w:rPr>
          <w:rFonts w:hint="eastAsia" w:ascii="黑体" w:hAnsi="黑体" w:eastAsia="黑体" w:cs="黑体"/>
          <w:color w:val="000000"/>
          <w:sz w:val="24"/>
          <w:szCs w:val="24"/>
          <w:highlight w:val="none"/>
        </w:rPr>
        <w:t>；</w:t>
      </w:r>
    </w:p>
    <w:p w14:paraId="06C0037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（14）被最高人民法院在“信用中国”网站（www.creditchina.gov.cn）或各级信用信息共享平台中列入失信被执行人名单；</w:t>
      </w:r>
    </w:p>
    <w:p w14:paraId="6AE7272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（15）在近三年内</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或其法定代表人、拟委任的项目负责人有行贿犯罪行为的（以检察机关职务犯罪预防部门出具的查询结果为准）；</w:t>
      </w:r>
    </w:p>
    <w:p w14:paraId="2D8BBC1B">
      <w:pPr>
        <w:pageBreakBefore w:val="0"/>
        <w:kinsoku/>
        <w:wordWrap/>
        <w:overflowPunct/>
        <w:topLinePunct w:val="0"/>
        <w:autoSpaceDE/>
        <w:autoSpaceDN/>
        <w:bidi w:val="0"/>
        <w:adjustRightInd w:val="0"/>
        <w:snapToGrid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（16）法律法规或</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须知前附表规定的其他情形。</w:t>
      </w:r>
    </w:p>
    <w:p w14:paraId="739BA7D8">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1.5 费用承担</w:t>
      </w:r>
    </w:p>
    <w:p w14:paraId="42689589">
      <w:pPr>
        <w:pageBreakBefore w:val="0"/>
        <w:kinsoku/>
        <w:wordWrap/>
        <w:overflowPunct/>
        <w:topLinePunct w:val="0"/>
        <w:autoSpaceDE/>
        <w:autoSpaceDN/>
        <w:bidi w:val="0"/>
        <w:adjustRightInd w:val="0"/>
        <w:snapToGrid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1.5.1</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准备和参加</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活动发生的费用自理。</w:t>
      </w:r>
    </w:p>
    <w:p w14:paraId="393460FB">
      <w:pPr>
        <w:pageBreakBefore w:val="0"/>
        <w:kinsoku/>
        <w:wordWrap/>
        <w:overflowPunct/>
        <w:topLinePunct w:val="0"/>
        <w:autoSpaceDE/>
        <w:autoSpaceDN/>
        <w:bidi w:val="0"/>
        <w:adjustRightInd w:val="0"/>
        <w:snapToGrid w:val="0"/>
        <w:spacing w:line="360" w:lineRule="auto"/>
        <w:ind w:left="0" w:firstLine="480" w:firstLineChars="200"/>
        <w:jc w:val="left"/>
        <w:textAlignment w:val="auto"/>
        <w:rPr>
          <w:rFonts w:hint="default" w:ascii="黑体" w:hAnsi="黑体" w:eastAsia="黑体" w:cs="黑体"/>
          <w:sz w:val="24"/>
          <w:szCs w:val="24"/>
          <w:highlight w:val="none"/>
          <w:lang w:val="en-US"/>
        </w:rPr>
      </w:pPr>
      <w:r>
        <w:rPr>
          <w:rFonts w:hint="eastAsia" w:ascii="黑体" w:hAnsi="黑体" w:eastAsia="黑体" w:cs="黑体"/>
          <w:sz w:val="24"/>
          <w:szCs w:val="24"/>
          <w:highlight w:val="none"/>
          <w:lang w:val="en-US" w:eastAsia="zh-CN"/>
        </w:rPr>
        <w:t>1.5.2采购</w:t>
      </w:r>
      <w:r>
        <w:rPr>
          <w:rFonts w:hint="eastAsia" w:ascii="黑体" w:hAnsi="黑体" w:eastAsia="黑体" w:cs="黑体"/>
          <w:sz w:val="24"/>
          <w:szCs w:val="24"/>
          <w:highlight w:val="none"/>
        </w:rPr>
        <w:t>代理服务费：</w:t>
      </w:r>
      <w:r>
        <w:rPr>
          <w:rFonts w:hint="eastAsia" w:ascii="黑体" w:hAnsi="黑体" w:eastAsia="黑体" w:cs="黑体"/>
          <w:sz w:val="24"/>
          <w:szCs w:val="24"/>
          <w:highlight w:val="none"/>
          <w:lang w:val="en-US" w:eastAsia="zh-CN"/>
        </w:rPr>
        <w:t>3000元整，由采购人向采购代理机构缴纳。</w:t>
      </w:r>
    </w:p>
    <w:p w14:paraId="25EC8DB1">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8" w:name="_Toc492300359"/>
      <w:bookmarkEnd w:id="18"/>
      <w:bookmarkStart w:id="19" w:name="_Toc6008"/>
      <w:r>
        <w:rPr>
          <w:rFonts w:hint="eastAsia" w:ascii="黑体" w:hAnsi="黑体" w:eastAsia="黑体" w:cs="黑体"/>
          <w:b/>
          <w:bCs/>
          <w:sz w:val="24"/>
          <w:szCs w:val="24"/>
          <w:highlight w:val="none"/>
        </w:rPr>
        <w:t>1.6保密</w:t>
      </w:r>
      <w:bookmarkEnd w:id="19"/>
    </w:p>
    <w:p w14:paraId="787AB02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参与招标投标活动的各方应对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和</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中</w:t>
      </w:r>
      <w:bookmarkStart w:id="20" w:name="_Toc352691477"/>
      <w:bookmarkEnd w:id="20"/>
      <w:bookmarkStart w:id="21" w:name="_Toc384308214"/>
      <w:bookmarkEnd w:id="21"/>
      <w:bookmarkStart w:id="22" w:name="_Toc369531519"/>
      <w:bookmarkEnd w:id="22"/>
      <w:bookmarkStart w:id="23" w:name="_Toc361508589"/>
      <w:r>
        <w:rPr>
          <w:rFonts w:hint="eastAsia" w:ascii="黑体" w:hAnsi="黑体" w:eastAsia="黑体" w:cs="黑体"/>
          <w:color w:val="000000"/>
          <w:sz w:val="24"/>
          <w:szCs w:val="24"/>
          <w:highlight w:val="none"/>
        </w:rPr>
        <w:t>的商业和技术等秘密保密</w:t>
      </w:r>
      <w:bookmarkEnd w:id="23"/>
      <w:r>
        <w:rPr>
          <w:rFonts w:hint="eastAsia" w:ascii="黑体" w:hAnsi="黑体" w:eastAsia="黑体" w:cs="黑体"/>
          <w:color w:val="000000"/>
          <w:sz w:val="24"/>
          <w:szCs w:val="24"/>
          <w:highlight w:val="none"/>
        </w:rPr>
        <w:t>，否则应承担相应的法律责任。</w:t>
      </w:r>
    </w:p>
    <w:p w14:paraId="4065E62B">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4" w:name="_Toc492300360"/>
      <w:bookmarkEnd w:id="24"/>
      <w:bookmarkStart w:id="25" w:name="_Toc2272"/>
      <w:r>
        <w:rPr>
          <w:rFonts w:hint="eastAsia" w:ascii="黑体" w:hAnsi="黑体" w:eastAsia="黑体" w:cs="黑体"/>
          <w:b/>
          <w:bCs/>
          <w:sz w:val="24"/>
          <w:szCs w:val="24"/>
          <w:highlight w:val="none"/>
        </w:rPr>
        <w:t>1.7 语言文字</w:t>
      </w:r>
      <w:bookmarkEnd w:id="25"/>
    </w:p>
    <w:p w14:paraId="3610D108">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招标</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使用的语言文字为中文。专用术语使用外文的，应附有中文注释。</w:t>
      </w:r>
    </w:p>
    <w:p w14:paraId="38D1D4A3">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6" w:name="_Toc492300361"/>
      <w:bookmarkEnd w:id="26"/>
      <w:bookmarkStart w:id="27" w:name="_Toc7881"/>
      <w:r>
        <w:rPr>
          <w:rFonts w:hint="eastAsia" w:ascii="黑体" w:hAnsi="黑体" w:eastAsia="黑体" w:cs="黑体"/>
          <w:b/>
          <w:bCs/>
          <w:sz w:val="24"/>
          <w:szCs w:val="24"/>
          <w:highlight w:val="none"/>
        </w:rPr>
        <w:t>1.8计量单位</w:t>
      </w:r>
      <w:bookmarkEnd w:id="27"/>
    </w:p>
    <w:p w14:paraId="69B3662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所有计量均采用中华人民共和国法定计量单位。</w:t>
      </w:r>
    </w:p>
    <w:p w14:paraId="205B0BEC">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8" w:name="_Toc152045539"/>
      <w:bookmarkEnd w:id="28"/>
      <w:bookmarkStart w:id="29" w:name="_Toc152042315"/>
      <w:bookmarkEnd w:id="29"/>
      <w:bookmarkStart w:id="30" w:name="_Toc144974507"/>
      <w:bookmarkEnd w:id="30"/>
      <w:bookmarkStart w:id="31" w:name="_Toc370676289"/>
      <w:bookmarkEnd w:id="31"/>
      <w:bookmarkStart w:id="32" w:name="_Toc300834959"/>
      <w:bookmarkEnd w:id="32"/>
      <w:bookmarkStart w:id="33" w:name="_Toc384308219"/>
      <w:bookmarkEnd w:id="33"/>
      <w:bookmarkStart w:id="34" w:name="_Toc482188480"/>
      <w:bookmarkEnd w:id="34"/>
      <w:bookmarkStart w:id="35" w:name="_Toc391393967"/>
      <w:bookmarkEnd w:id="35"/>
      <w:bookmarkStart w:id="36" w:name="_Toc247527563"/>
      <w:bookmarkEnd w:id="36"/>
      <w:bookmarkStart w:id="37" w:name="_Toc247513962"/>
      <w:bookmarkEnd w:id="37"/>
      <w:bookmarkStart w:id="38" w:name="_Toc361508594"/>
      <w:bookmarkEnd w:id="38"/>
      <w:bookmarkStart w:id="39" w:name="_Toc492300362"/>
      <w:bookmarkStart w:id="40" w:name="_Toc26590"/>
      <w:r>
        <w:rPr>
          <w:rFonts w:hint="eastAsia" w:ascii="黑体" w:hAnsi="黑体" w:eastAsia="黑体" w:cs="黑体"/>
          <w:b/>
          <w:bCs/>
          <w:sz w:val="24"/>
          <w:szCs w:val="24"/>
          <w:highlight w:val="none"/>
        </w:rPr>
        <w:t>1.9 踏勘现场</w:t>
      </w:r>
      <w:bookmarkEnd w:id="39"/>
      <w:bookmarkEnd w:id="40"/>
    </w:p>
    <w:p w14:paraId="6B25995F">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1.9.1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须知前附表规定组织踏勘现场的，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须知前附表规定的时间、地点组织</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踏勘项目现场。部分</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未按时参加踏勘现场的，不影响踏勘现场的正常进行。</w:t>
      </w:r>
    </w:p>
    <w:p w14:paraId="384CD3B5">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1.9.2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踏勘现场发生的费用自理。</w:t>
      </w:r>
    </w:p>
    <w:p w14:paraId="640AC6A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1.9.3 除</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的原因外，</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自行负责在踏勘现场中所发生的人员伤亡和财产损失。</w:t>
      </w:r>
    </w:p>
    <w:p w14:paraId="043392E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1.9.4 </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在踏勘现场中介绍的工程场地和相关的周边环境情况，</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在编制</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时参考，</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不对</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据此作出的判断和决策负责。</w:t>
      </w:r>
    </w:p>
    <w:p w14:paraId="3BF504BD">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41" w:name="_Toc492300363"/>
      <w:bookmarkEnd w:id="41"/>
      <w:bookmarkStart w:id="42" w:name="_Toc20643"/>
      <w:r>
        <w:rPr>
          <w:rFonts w:hint="eastAsia" w:ascii="黑体" w:hAnsi="黑体" w:eastAsia="黑体" w:cs="黑体"/>
          <w:b/>
          <w:bCs/>
          <w:sz w:val="24"/>
          <w:szCs w:val="24"/>
          <w:highlight w:val="none"/>
        </w:rPr>
        <w:t>1.10</w:t>
      </w:r>
      <w:r>
        <w:rPr>
          <w:rFonts w:hint="eastAsia" w:ascii="黑体" w:hAnsi="黑体" w:eastAsia="黑体" w:cs="黑体"/>
          <w:b/>
          <w:bCs/>
          <w:sz w:val="24"/>
          <w:szCs w:val="24"/>
          <w:highlight w:val="none"/>
          <w:lang w:val="en-US" w:eastAsia="zh-CN"/>
        </w:rPr>
        <w:t>磋商</w:t>
      </w:r>
      <w:r>
        <w:rPr>
          <w:rFonts w:hint="eastAsia" w:ascii="黑体" w:hAnsi="黑体" w:eastAsia="黑体" w:cs="黑体"/>
          <w:b/>
          <w:bCs/>
          <w:sz w:val="24"/>
          <w:szCs w:val="24"/>
          <w:highlight w:val="none"/>
        </w:rPr>
        <w:t>预备会</w:t>
      </w:r>
      <w:bookmarkEnd w:id="42"/>
    </w:p>
    <w:p w14:paraId="3868F74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w:t>
      </w:r>
      <w:r>
        <w:rPr>
          <w:rFonts w:hint="eastAsia" w:ascii="黑体" w:hAnsi="黑体" w:eastAsia="黑体" w:cs="黑体"/>
          <w:sz w:val="24"/>
          <w:szCs w:val="24"/>
          <w:highlight w:val="none"/>
        </w:rPr>
        <w:t>10</w:t>
      </w:r>
      <w:r>
        <w:rPr>
          <w:rFonts w:hint="eastAsia" w:ascii="黑体" w:hAnsi="黑体" w:eastAsia="黑体" w:cs="黑体"/>
          <w:color w:val="000000"/>
          <w:sz w:val="24"/>
          <w:szCs w:val="24"/>
          <w:highlight w:val="none"/>
        </w:rPr>
        <w:t xml:space="preserve">.1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须知前附表规定召开投标预备会的，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须知前附表规定的时间和地点召开投标预备会，澄清</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提出的问题。</w:t>
      </w:r>
    </w:p>
    <w:p w14:paraId="7C52352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w:t>
      </w:r>
      <w:r>
        <w:rPr>
          <w:rFonts w:hint="eastAsia" w:ascii="黑体" w:hAnsi="黑体" w:eastAsia="黑体" w:cs="黑体"/>
          <w:sz w:val="24"/>
          <w:szCs w:val="24"/>
          <w:highlight w:val="none"/>
        </w:rPr>
        <w:t>10</w:t>
      </w:r>
      <w:r>
        <w:rPr>
          <w:rFonts w:hint="eastAsia" w:ascii="黑体" w:hAnsi="黑体" w:eastAsia="黑体" w:cs="黑体"/>
          <w:color w:val="000000"/>
          <w:sz w:val="24"/>
          <w:szCs w:val="24"/>
          <w:highlight w:val="none"/>
        </w:rPr>
        <w:t xml:space="preserve">.2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应按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须知前附表规定的时间和形式将提出的问题送达</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，以便</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在会议期间澄清。</w:t>
      </w:r>
    </w:p>
    <w:p w14:paraId="009B9DF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w:t>
      </w:r>
      <w:r>
        <w:rPr>
          <w:rFonts w:hint="eastAsia" w:ascii="黑体" w:hAnsi="黑体" w:eastAsia="黑体" w:cs="黑体"/>
          <w:sz w:val="24"/>
          <w:szCs w:val="24"/>
          <w:highlight w:val="none"/>
        </w:rPr>
        <w:t>10</w:t>
      </w:r>
      <w:r>
        <w:rPr>
          <w:rFonts w:hint="eastAsia" w:ascii="黑体" w:hAnsi="黑体" w:eastAsia="黑体" w:cs="黑体"/>
          <w:color w:val="000000"/>
          <w:sz w:val="24"/>
          <w:szCs w:val="24"/>
          <w:highlight w:val="none"/>
        </w:rPr>
        <w:t>.3 投标预备会后，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将对</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所提问题的澄清，以</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须知前附表规定的形式通知所有购买</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。该澄清内容为</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的组成部分。</w:t>
      </w:r>
    </w:p>
    <w:p w14:paraId="575865C9">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43" w:name="_Toc492300364"/>
      <w:bookmarkEnd w:id="43"/>
      <w:bookmarkStart w:id="44" w:name="_Toc23799"/>
      <w:r>
        <w:rPr>
          <w:rFonts w:hint="eastAsia" w:ascii="黑体" w:hAnsi="黑体" w:eastAsia="黑体" w:cs="黑体"/>
          <w:b/>
          <w:bCs/>
          <w:sz w:val="24"/>
          <w:szCs w:val="24"/>
          <w:highlight w:val="none"/>
        </w:rPr>
        <w:t>1.11 分包</w:t>
      </w:r>
      <w:bookmarkEnd w:id="44"/>
    </w:p>
    <w:p w14:paraId="39BE201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1.11.1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拟在中标后将中标项目的非主体、非关键性工作进行分包的，应符合</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须知前附表规定的分包内容、分包金额和资质要求等限制性条件，除</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 xml:space="preserve">须知前附表规定的非主体、非关键性工作外，其他工作不得分包。 </w:t>
      </w:r>
    </w:p>
    <w:p w14:paraId="6630D1C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1.11.2</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不得向他人转让中标项目，接受分包的人不得再次分包。</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应当就分包项目向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负责，接受分包的人就分包项目承担连带责任。</w:t>
      </w:r>
    </w:p>
    <w:p w14:paraId="628874CD">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45" w:name="_Toc492300365"/>
      <w:bookmarkEnd w:id="45"/>
      <w:bookmarkStart w:id="46" w:name="_Toc27655"/>
      <w:r>
        <w:rPr>
          <w:rFonts w:hint="eastAsia" w:ascii="黑体" w:hAnsi="黑体" w:eastAsia="黑体" w:cs="黑体"/>
          <w:b/>
          <w:bCs/>
          <w:sz w:val="24"/>
          <w:szCs w:val="24"/>
          <w:highlight w:val="none"/>
        </w:rPr>
        <w:t>1.12响应和偏差</w:t>
      </w:r>
      <w:bookmarkEnd w:id="46"/>
    </w:p>
    <w:p w14:paraId="2ACCF607">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1.12.1</w:t>
      </w:r>
      <w:r>
        <w:rPr>
          <w:rFonts w:hint="eastAsia" w:ascii="黑体" w:hAnsi="黑体" w:eastAsia="黑体" w:cs="黑体"/>
          <w:color w:val="000000"/>
          <w:sz w:val="24"/>
          <w:szCs w:val="24"/>
          <w:highlight w:val="none"/>
          <w:lang w:val="en-US" w:eastAsia="zh-CN"/>
        </w:rPr>
        <w:t>响应</w:t>
      </w:r>
      <w:r>
        <w:rPr>
          <w:rFonts w:hint="eastAsia" w:ascii="黑体" w:hAnsi="黑体" w:eastAsia="黑体" w:cs="黑体"/>
          <w:color w:val="000000"/>
          <w:sz w:val="24"/>
          <w:szCs w:val="24"/>
          <w:highlight w:val="none"/>
          <w:lang w:eastAsia="zh-CN"/>
        </w:rPr>
        <w:t>文件</w:t>
      </w:r>
      <w:r>
        <w:rPr>
          <w:rFonts w:hint="eastAsia" w:ascii="黑体" w:hAnsi="黑体" w:eastAsia="黑体" w:cs="黑体"/>
          <w:color w:val="000000"/>
          <w:sz w:val="24"/>
          <w:szCs w:val="24"/>
          <w:highlight w:val="none"/>
        </w:rPr>
        <w:t>应当对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的实质性要求和条件作出满足性或更有利于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的响应，否则，</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的投标将被否决。实质性要求和条件见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p>
    <w:p w14:paraId="258C968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1.12.2 </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应根据</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的要求提供投标方案等内容以对</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作出响应。</w:t>
      </w:r>
    </w:p>
    <w:p w14:paraId="3ED44698">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1.12.3</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须知前附表允许</w:t>
      </w:r>
      <w:r>
        <w:rPr>
          <w:rFonts w:hint="eastAsia" w:ascii="黑体" w:hAnsi="黑体" w:eastAsia="黑体" w:cs="黑体"/>
          <w:sz w:val="24"/>
          <w:szCs w:val="24"/>
          <w:highlight w:val="none"/>
          <w:lang w:val="en-US" w:eastAsia="zh-CN"/>
        </w:rPr>
        <w:t>响应</w:t>
      </w:r>
      <w:r>
        <w:rPr>
          <w:rFonts w:hint="eastAsia" w:ascii="黑体" w:hAnsi="黑体" w:eastAsia="黑体" w:cs="黑体"/>
          <w:sz w:val="24"/>
          <w:szCs w:val="24"/>
          <w:highlight w:val="none"/>
          <w:lang w:eastAsia="zh-CN"/>
        </w:rPr>
        <w:t>文件</w:t>
      </w:r>
      <w:r>
        <w:rPr>
          <w:rFonts w:hint="eastAsia" w:ascii="黑体" w:hAnsi="黑体" w:eastAsia="黑体" w:cs="黑体"/>
          <w:sz w:val="24"/>
          <w:szCs w:val="24"/>
          <w:highlight w:val="none"/>
        </w:rPr>
        <w:t>偏离</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某些要求的，偏差应当符合</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规定的偏差范围和幅度。</w:t>
      </w:r>
    </w:p>
    <w:p w14:paraId="1814B812">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rPr>
      </w:pPr>
      <w:bookmarkStart w:id="47" w:name="_Toc492300366"/>
      <w:bookmarkEnd w:id="47"/>
      <w:bookmarkStart w:id="48" w:name="_Toc19170"/>
      <w:r>
        <w:rPr>
          <w:rFonts w:hint="eastAsia" w:ascii="黑体" w:hAnsi="黑体" w:eastAsia="黑体" w:cs="黑体"/>
          <w:b/>
          <w:bCs/>
          <w:color w:val="000000"/>
          <w:sz w:val="24"/>
          <w:szCs w:val="24"/>
          <w:highlight w:val="none"/>
        </w:rPr>
        <w:t xml:space="preserve">2. </w:t>
      </w:r>
      <w:r>
        <w:rPr>
          <w:rFonts w:hint="eastAsia" w:ascii="黑体" w:hAnsi="黑体" w:eastAsia="黑体" w:cs="黑体"/>
          <w:b/>
          <w:bCs/>
          <w:color w:val="000000"/>
          <w:sz w:val="24"/>
          <w:szCs w:val="24"/>
          <w:highlight w:val="none"/>
          <w:lang w:val="en-US" w:eastAsia="zh-CN"/>
        </w:rPr>
        <w:t>竞争性磋商</w:t>
      </w:r>
      <w:r>
        <w:rPr>
          <w:rFonts w:hint="eastAsia" w:ascii="黑体" w:hAnsi="黑体" w:eastAsia="黑体" w:cs="黑体"/>
          <w:b/>
          <w:bCs/>
          <w:color w:val="000000"/>
          <w:sz w:val="24"/>
          <w:szCs w:val="24"/>
          <w:highlight w:val="none"/>
        </w:rPr>
        <w:t>文件</w:t>
      </w:r>
      <w:bookmarkEnd w:id="48"/>
    </w:p>
    <w:p w14:paraId="233BE5BB">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49" w:name="_Toc492300367"/>
      <w:bookmarkEnd w:id="49"/>
      <w:bookmarkStart w:id="50" w:name="_Toc20895"/>
      <w:r>
        <w:rPr>
          <w:rFonts w:hint="eastAsia" w:ascii="黑体" w:hAnsi="黑体" w:eastAsia="黑体" w:cs="黑体"/>
          <w:b/>
          <w:bCs/>
          <w:sz w:val="24"/>
          <w:szCs w:val="24"/>
          <w:highlight w:val="none"/>
        </w:rPr>
        <w:t xml:space="preserve">2.1 </w:t>
      </w:r>
      <w:r>
        <w:rPr>
          <w:rFonts w:hint="eastAsia" w:ascii="黑体" w:hAnsi="黑体" w:eastAsia="黑体" w:cs="黑体"/>
          <w:b/>
          <w:bCs/>
          <w:sz w:val="24"/>
          <w:szCs w:val="24"/>
          <w:highlight w:val="none"/>
          <w:lang w:val="en-US" w:eastAsia="zh-CN"/>
        </w:rPr>
        <w:t>竞争性磋商文</w:t>
      </w:r>
      <w:r>
        <w:rPr>
          <w:rFonts w:hint="eastAsia" w:ascii="黑体" w:hAnsi="黑体" w:eastAsia="黑体" w:cs="黑体"/>
          <w:b/>
          <w:bCs/>
          <w:sz w:val="24"/>
          <w:szCs w:val="24"/>
          <w:highlight w:val="none"/>
        </w:rPr>
        <w:t>件的组成</w:t>
      </w:r>
      <w:bookmarkEnd w:id="50"/>
    </w:p>
    <w:p w14:paraId="316C508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本</w:t>
      </w:r>
      <w:r>
        <w:rPr>
          <w:rFonts w:hint="eastAsia" w:ascii="黑体" w:hAnsi="黑体" w:eastAsia="黑体" w:cs="黑体"/>
          <w:color w:val="000000"/>
          <w:sz w:val="24"/>
          <w:szCs w:val="24"/>
          <w:highlight w:val="none"/>
          <w:lang w:val="en-US" w:eastAsia="zh-CN"/>
        </w:rPr>
        <w:t>竞争性磋商</w:t>
      </w:r>
      <w:r>
        <w:rPr>
          <w:rFonts w:hint="eastAsia" w:ascii="黑体" w:hAnsi="黑体" w:eastAsia="黑体" w:cs="黑体"/>
          <w:color w:val="000000"/>
          <w:sz w:val="24"/>
          <w:szCs w:val="24"/>
          <w:highlight w:val="none"/>
        </w:rPr>
        <w:t>文件包括：</w:t>
      </w:r>
    </w:p>
    <w:p w14:paraId="7A2D10A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val="en-US" w:eastAsia="zh-CN"/>
        </w:rPr>
        <w:t>1</w:t>
      </w:r>
      <w:r>
        <w:rPr>
          <w:rFonts w:hint="eastAsia" w:ascii="黑体" w:hAnsi="黑体" w:eastAsia="黑体" w:cs="黑体"/>
          <w:color w:val="000000"/>
          <w:sz w:val="24"/>
          <w:szCs w:val="24"/>
          <w:highlight w:val="none"/>
        </w:rPr>
        <w:t>）竞争性磋商</w:t>
      </w:r>
      <w:r>
        <w:rPr>
          <w:rFonts w:hint="eastAsia" w:ascii="黑体" w:hAnsi="黑体" w:eastAsia="黑体" w:cs="黑体"/>
          <w:color w:val="000000"/>
          <w:sz w:val="24"/>
          <w:szCs w:val="24"/>
          <w:highlight w:val="none"/>
          <w:lang w:eastAsia="zh-CN"/>
        </w:rPr>
        <w:t>公告</w:t>
      </w:r>
    </w:p>
    <w:p w14:paraId="13E2266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lang w:val="en-US" w:eastAsia="zh-CN"/>
        </w:rPr>
        <w:t>2</w:t>
      </w:r>
      <w:r>
        <w:rPr>
          <w:rFonts w:hint="eastAsia" w:ascii="黑体" w:hAnsi="黑体" w:eastAsia="黑体" w:cs="黑体"/>
          <w:color w:val="000000"/>
          <w:sz w:val="24"/>
          <w:szCs w:val="24"/>
          <w:highlight w:val="none"/>
          <w:lang w:eastAsia="zh-CN"/>
        </w:rPr>
        <w:t>）供应商须知</w:t>
      </w:r>
    </w:p>
    <w:p w14:paraId="012B5F3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val="en-US" w:eastAsia="zh-CN"/>
        </w:rPr>
        <w:t>3</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eastAsia="zh-CN"/>
        </w:rPr>
        <w:t>合同文件格式</w:t>
      </w:r>
    </w:p>
    <w:p w14:paraId="6C189CF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val="en-US" w:eastAsia="zh-CN"/>
        </w:rPr>
        <w:t>4</w:t>
      </w:r>
      <w:r>
        <w:rPr>
          <w:rFonts w:hint="eastAsia" w:ascii="黑体" w:hAnsi="黑体" w:eastAsia="黑体" w:cs="黑体"/>
          <w:color w:val="000000"/>
          <w:sz w:val="24"/>
          <w:szCs w:val="24"/>
          <w:highlight w:val="none"/>
        </w:rPr>
        <w:t>）评审办法</w:t>
      </w:r>
    </w:p>
    <w:p w14:paraId="4F8ED7FF">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val="en-US" w:eastAsia="zh-CN"/>
        </w:rPr>
        <w:t>5</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eastAsia="zh-CN"/>
        </w:rPr>
        <w:t>采购人要求</w:t>
      </w:r>
    </w:p>
    <w:p w14:paraId="294FF4D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val="en-US"/>
        </w:rPr>
      </w:pPr>
      <w:r>
        <w:rPr>
          <w:rFonts w:hint="eastAsia" w:ascii="黑体" w:hAnsi="黑体" w:eastAsia="黑体" w:cs="黑体"/>
          <w:color w:val="000000"/>
          <w:sz w:val="24"/>
          <w:szCs w:val="24"/>
          <w:highlight w:val="none"/>
          <w:lang w:val="en-US" w:eastAsia="zh-CN"/>
        </w:rPr>
        <w:t>（6）响应文件格式</w:t>
      </w:r>
    </w:p>
    <w:p w14:paraId="2FC3023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根据本章第1.10款、第2.2款和第2.3款对</w:t>
      </w:r>
      <w:r>
        <w:rPr>
          <w:rFonts w:hint="eastAsia" w:ascii="黑体" w:hAnsi="黑体" w:eastAsia="黑体" w:cs="黑体"/>
          <w:color w:val="000000"/>
          <w:sz w:val="24"/>
          <w:szCs w:val="24"/>
          <w:highlight w:val="none"/>
          <w:lang w:val="en-US" w:eastAsia="zh-CN"/>
        </w:rPr>
        <w:t>竞争性磋商</w:t>
      </w:r>
      <w:r>
        <w:rPr>
          <w:rFonts w:hint="eastAsia" w:ascii="黑体" w:hAnsi="黑体" w:eastAsia="黑体" w:cs="黑体"/>
          <w:color w:val="000000"/>
          <w:sz w:val="24"/>
          <w:szCs w:val="24"/>
          <w:highlight w:val="none"/>
        </w:rPr>
        <w:t>文件所作的澄清、修改，构成</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的组成部分。</w:t>
      </w:r>
    </w:p>
    <w:p w14:paraId="7C19460A">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51" w:name="_Toc492300368"/>
      <w:bookmarkEnd w:id="51"/>
      <w:bookmarkStart w:id="52" w:name="_Toc15660"/>
      <w:r>
        <w:rPr>
          <w:rFonts w:hint="eastAsia" w:ascii="黑体" w:hAnsi="黑体" w:eastAsia="黑体" w:cs="黑体"/>
          <w:b/>
          <w:bCs/>
          <w:sz w:val="24"/>
          <w:szCs w:val="24"/>
          <w:highlight w:val="none"/>
        </w:rPr>
        <w:t xml:space="preserve">2.2 </w:t>
      </w:r>
      <w:r>
        <w:rPr>
          <w:rFonts w:hint="eastAsia" w:ascii="黑体" w:hAnsi="黑体" w:eastAsia="黑体" w:cs="黑体"/>
          <w:b/>
          <w:bCs/>
          <w:sz w:val="24"/>
          <w:szCs w:val="24"/>
          <w:highlight w:val="none"/>
          <w:lang w:val="en-US" w:eastAsia="zh-CN"/>
        </w:rPr>
        <w:t>竞争性磋商</w:t>
      </w:r>
      <w:r>
        <w:rPr>
          <w:rFonts w:hint="eastAsia" w:ascii="黑体" w:hAnsi="黑体" w:eastAsia="黑体" w:cs="黑体"/>
          <w:b/>
          <w:bCs/>
          <w:sz w:val="24"/>
          <w:szCs w:val="24"/>
          <w:highlight w:val="none"/>
        </w:rPr>
        <w:t>文件的澄清</w:t>
      </w:r>
      <w:bookmarkEnd w:id="52"/>
    </w:p>
    <w:p w14:paraId="2D6E8B33">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2.2.1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应仔细阅读和检查</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的全部内容。如发现缺页或附件不全，应及时向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提出，以便补齐。如有疑问，应按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须知前附表规定的时间和形式将提出的问题送达</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，要求</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予以澄清。</w:t>
      </w:r>
    </w:p>
    <w:p w14:paraId="0106428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2.2.2</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的澄清以</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须知前附表规定的形式发给所有购买</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，但不指明澄清问题的来源。澄清发出的时间距本章第4.2.1项规定的</w:t>
      </w:r>
      <w:r>
        <w:rPr>
          <w:rFonts w:hint="eastAsia" w:ascii="黑体" w:hAnsi="黑体" w:eastAsia="黑体" w:cs="黑体"/>
          <w:color w:val="000000"/>
          <w:sz w:val="24"/>
          <w:szCs w:val="24"/>
          <w:highlight w:val="none"/>
          <w:lang w:eastAsia="zh-CN"/>
        </w:rPr>
        <w:t>投标截止</w:t>
      </w:r>
      <w:r>
        <w:rPr>
          <w:rFonts w:hint="eastAsia" w:ascii="黑体" w:hAnsi="黑体" w:eastAsia="黑体" w:cs="黑体"/>
          <w:color w:val="000000"/>
          <w:sz w:val="24"/>
          <w:szCs w:val="24"/>
          <w:highlight w:val="none"/>
        </w:rPr>
        <w:t>时间不足</w:t>
      </w:r>
      <w:r>
        <w:rPr>
          <w:rFonts w:hint="eastAsia" w:ascii="黑体" w:hAnsi="黑体" w:eastAsia="黑体" w:cs="黑体"/>
          <w:color w:val="000000"/>
          <w:sz w:val="24"/>
          <w:szCs w:val="24"/>
          <w:highlight w:val="none"/>
          <w:lang w:val="en-US" w:eastAsia="zh-CN"/>
        </w:rPr>
        <w:t>5</w:t>
      </w:r>
      <w:r>
        <w:rPr>
          <w:rFonts w:hint="eastAsia" w:ascii="黑体" w:hAnsi="黑体" w:eastAsia="黑体" w:cs="黑体"/>
          <w:color w:val="000000"/>
          <w:sz w:val="24"/>
          <w:szCs w:val="24"/>
          <w:highlight w:val="none"/>
        </w:rPr>
        <w:t>日的，并且澄清内容可能影响</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编制的，将相应延长</w:t>
      </w:r>
      <w:r>
        <w:rPr>
          <w:rFonts w:hint="eastAsia" w:ascii="黑体" w:hAnsi="黑体" w:eastAsia="黑体" w:cs="黑体"/>
          <w:color w:val="000000"/>
          <w:sz w:val="24"/>
          <w:szCs w:val="24"/>
          <w:highlight w:val="none"/>
          <w:lang w:eastAsia="zh-CN"/>
        </w:rPr>
        <w:t>投标截止</w:t>
      </w:r>
      <w:r>
        <w:rPr>
          <w:rFonts w:hint="eastAsia" w:ascii="黑体" w:hAnsi="黑体" w:eastAsia="黑体" w:cs="黑体"/>
          <w:color w:val="000000"/>
          <w:sz w:val="24"/>
          <w:szCs w:val="24"/>
          <w:highlight w:val="none"/>
        </w:rPr>
        <w:t>时间。</w:t>
      </w:r>
    </w:p>
    <w:p w14:paraId="7FD3D507">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2.2.3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在收到澄清后，应按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须知前附表规定的时间和形式通知</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，确认已收到该澄清。</w:t>
      </w:r>
    </w:p>
    <w:p w14:paraId="767EB14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2.2.4 除非</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认为确有必要答复，否则，</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有权拒绝回复</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在本章第2.2.1项规定的时间后的任何澄清要求。</w:t>
      </w:r>
    </w:p>
    <w:p w14:paraId="11C2085A">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53" w:name="_Toc492300369"/>
      <w:bookmarkEnd w:id="53"/>
      <w:bookmarkStart w:id="54" w:name="_Toc352691479"/>
      <w:bookmarkStart w:id="55" w:name="_Toc32296"/>
      <w:r>
        <w:rPr>
          <w:rFonts w:hint="eastAsia" w:ascii="黑体" w:hAnsi="黑体" w:eastAsia="黑体" w:cs="黑体"/>
          <w:b/>
          <w:bCs/>
          <w:sz w:val="24"/>
          <w:szCs w:val="24"/>
          <w:highlight w:val="none"/>
        </w:rPr>
        <w:t xml:space="preserve">2.3 </w:t>
      </w:r>
      <w:r>
        <w:rPr>
          <w:rFonts w:hint="eastAsia" w:ascii="黑体" w:hAnsi="黑体" w:eastAsia="黑体" w:cs="黑体"/>
          <w:b/>
          <w:bCs/>
          <w:sz w:val="24"/>
          <w:szCs w:val="24"/>
          <w:highlight w:val="none"/>
          <w:lang w:eastAsia="zh-CN"/>
        </w:rPr>
        <w:t>竞争性磋商文件</w:t>
      </w:r>
      <w:r>
        <w:rPr>
          <w:rFonts w:hint="eastAsia" w:ascii="黑体" w:hAnsi="黑体" w:eastAsia="黑体" w:cs="黑体"/>
          <w:b/>
          <w:bCs/>
          <w:sz w:val="24"/>
          <w:szCs w:val="24"/>
          <w:highlight w:val="none"/>
        </w:rPr>
        <w:t>的修</w:t>
      </w:r>
      <w:bookmarkEnd w:id="54"/>
      <w:bookmarkStart w:id="56" w:name="_Toc16514"/>
      <w:bookmarkEnd w:id="56"/>
      <w:bookmarkStart w:id="57" w:name="_Toc369531521"/>
      <w:r>
        <w:rPr>
          <w:rFonts w:hint="eastAsia" w:ascii="黑体" w:hAnsi="黑体" w:eastAsia="黑体" w:cs="黑体"/>
          <w:b/>
          <w:bCs/>
          <w:sz w:val="24"/>
          <w:szCs w:val="24"/>
          <w:highlight w:val="none"/>
        </w:rPr>
        <w:t>改</w:t>
      </w:r>
      <w:bookmarkEnd w:id="55"/>
      <w:bookmarkEnd w:id="57"/>
    </w:p>
    <w:p w14:paraId="5A2A481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2.3.1</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以</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须知前附表规定的形式修改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，并通知所有已购买</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。修改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的时间距本章第4.2.1项规定的</w:t>
      </w:r>
      <w:r>
        <w:rPr>
          <w:rFonts w:hint="eastAsia" w:ascii="黑体" w:hAnsi="黑体" w:eastAsia="黑体" w:cs="黑体"/>
          <w:color w:val="000000"/>
          <w:sz w:val="24"/>
          <w:szCs w:val="24"/>
          <w:highlight w:val="none"/>
          <w:lang w:eastAsia="zh-CN"/>
        </w:rPr>
        <w:t>投标截止</w:t>
      </w:r>
      <w:r>
        <w:rPr>
          <w:rFonts w:hint="eastAsia" w:ascii="黑体" w:hAnsi="黑体" w:eastAsia="黑体" w:cs="黑体"/>
          <w:color w:val="000000"/>
          <w:sz w:val="24"/>
          <w:szCs w:val="24"/>
          <w:highlight w:val="none"/>
        </w:rPr>
        <w:t>时间不足</w:t>
      </w:r>
      <w:r>
        <w:rPr>
          <w:rFonts w:hint="eastAsia" w:ascii="黑体" w:hAnsi="黑体" w:eastAsia="黑体" w:cs="黑体"/>
          <w:color w:val="000000"/>
          <w:sz w:val="24"/>
          <w:szCs w:val="24"/>
          <w:highlight w:val="none"/>
          <w:lang w:val="en-US" w:eastAsia="zh-CN"/>
        </w:rPr>
        <w:t>5</w:t>
      </w:r>
      <w:r>
        <w:rPr>
          <w:rFonts w:hint="eastAsia" w:ascii="黑体" w:hAnsi="黑体" w:eastAsia="黑体" w:cs="黑体"/>
          <w:color w:val="000000"/>
          <w:sz w:val="24"/>
          <w:szCs w:val="24"/>
          <w:highlight w:val="none"/>
        </w:rPr>
        <w:t>日的，并且修改内容可能影响</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编制的，将相应延长</w:t>
      </w:r>
      <w:r>
        <w:rPr>
          <w:rFonts w:hint="eastAsia" w:ascii="黑体" w:hAnsi="黑体" w:eastAsia="黑体" w:cs="黑体"/>
          <w:color w:val="000000"/>
          <w:sz w:val="24"/>
          <w:szCs w:val="24"/>
          <w:highlight w:val="none"/>
          <w:lang w:eastAsia="zh-CN"/>
        </w:rPr>
        <w:t>投标截止</w:t>
      </w:r>
      <w:r>
        <w:rPr>
          <w:rFonts w:hint="eastAsia" w:ascii="黑体" w:hAnsi="黑体" w:eastAsia="黑体" w:cs="黑体"/>
          <w:color w:val="000000"/>
          <w:sz w:val="24"/>
          <w:szCs w:val="24"/>
          <w:highlight w:val="none"/>
        </w:rPr>
        <w:t>时间。</w:t>
      </w:r>
    </w:p>
    <w:p w14:paraId="6E3CB44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2.3.2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收到修改内容</w:t>
      </w:r>
      <w:bookmarkStart w:id="58" w:name="_Toc300834958"/>
      <w:bookmarkEnd w:id="58"/>
      <w:bookmarkStart w:id="59" w:name="_Toc144974506"/>
      <w:bookmarkEnd w:id="59"/>
      <w:bookmarkStart w:id="60" w:name="_Toc361508593"/>
      <w:bookmarkEnd w:id="60"/>
      <w:bookmarkStart w:id="61" w:name="_Toc384308218"/>
      <w:bookmarkEnd w:id="61"/>
      <w:bookmarkStart w:id="62" w:name="_Toc152045538"/>
      <w:bookmarkEnd w:id="62"/>
      <w:bookmarkStart w:id="63" w:name="_Toc24632"/>
      <w:bookmarkEnd w:id="63"/>
      <w:bookmarkStart w:id="64" w:name="_Toc247513961"/>
      <w:bookmarkEnd w:id="64"/>
      <w:bookmarkStart w:id="65" w:name="_Toc369531524"/>
      <w:bookmarkEnd w:id="65"/>
      <w:bookmarkStart w:id="66" w:name="_Toc352691482"/>
      <w:bookmarkEnd w:id="66"/>
      <w:bookmarkStart w:id="67" w:name="_Toc152042314"/>
      <w:bookmarkEnd w:id="67"/>
      <w:bookmarkStart w:id="68" w:name="_Toc247527562"/>
      <w:r>
        <w:rPr>
          <w:rFonts w:hint="eastAsia" w:ascii="黑体" w:hAnsi="黑体" w:eastAsia="黑体" w:cs="黑体"/>
          <w:color w:val="000000"/>
          <w:sz w:val="24"/>
          <w:szCs w:val="24"/>
          <w:highlight w:val="none"/>
        </w:rPr>
        <w:t>后，</w:t>
      </w:r>
      <w:bookmarkEnd w:id="68"/>
      <w:bookmarkStart w:id="69" w:name="_Toc152045540"/>
      <w:bookmarkEnd w:id="69"/>
      <w:bookmarkStart w:id="70" w:name="_Toc300834960"/>
      <w:bookmarkEnd w:id="70"/>
      <w:bookmarkStart w:id="71" w:name="_Toc16623"/>
      <w:bookmarkEnd w:id="71"/>
      <w:bookmarkStart w:id="72" w:name="_Toc152042316"/>
      <w:bookmarkEnd w:id="72"/>
      <w:bookmarkStart w:id="73" w:name="_Toc352691484"/>
      <w:bookmarkEnd w:id="73"/>
      <w:bookmarkStart w:id="74" w:name="_Toc247513963"/>
      <w:bookmarkEnd w:id="74"/>
      <w:bookmarkStart w:id="75" w:name="_Toc384308220"/>
      <w:bookmarkEnd w:id="75"/>
      <w:bookmarkStart w:id="76" w:name="_Toc144974508"/>
      <w:bookmarkEnd w:id="76"/>
      <w:bookmarkStart w:id="77" w:name="_Toc247527564"/>
      <w:bookmarkEnd w:id="77"/>
      <w:bookmarkStart w:id="78" w:name="_Toc369531526"/>
      <w:bookmarkEnd w:id="78"/>
      <w:bookmarkStart w:id="79" w:name="_Toc361508595"/>
      <w:bookmarkEnd w:id="79"/>
      <w:r>
        <w:rPr>
          <w:rFonts w:hint="eastAsia" w:ascii="黑体" w:hAnsi="黑体" w:eastAsia="黑体" w:cs="黑体"/>
          <w:color w:val="000000"/>
          <w:sz w:val="24"/>
          <w:szCs w:val="24"/>
          <w:highlight w:val="none"/>
        </w:rPr>
        <w:t>应按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须知前附表规定的时间和形式通知</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，确认已收到该修改。</w:t>
      </w:r>
    </w:p>
    <w:p w14:paraId="2B912791">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80" w:name="_Toc492300370"/>
      <w:bookmarkEnd w:id="80"/>
      <w:bookmarkStart w:id="81" w:name="_Toc26490"/>
      <w:r>
        <w:rPr>
          <w:rFonts w:hint="eastAsia" w:ascii="黑体" w:hAnsi="黑体" w:eastAsia="黑体" w:cs="黑体"/>
          <w:b/>
          <w:bCs/>
          <w:sz w:val="24"/>
          <w:szCs w:val="24"/>
          <w:highlight w:val="none"/>
        </w:rPr>
        <w:t xml:space="preserve">2.4 </w:t>
      </w:r>
      <w:r>
        <w:rPr>
          <w:rFonts w:hint="eastAsia" w:ascii="黑体" w:hAnsi="黑体" w:eastAsia="黑体" w:cs="黑体"/>
          <w:b/>
          <w:bCs/>
          <w:sz w:val="24"/>
          <w:szCs w:val="24"/>
          <w:highlight w:val="none"/>
          <w:lang w:eastAsia="zh-CN"/>
        </w:rPr>
        <w:t>竞争性磋商文件</w:t>
      </w:r>
      <w:r>
        <w:rPr>
          <w:rFonts w:hint="eastAsia" w:ascii="黑体" w:hAnsi="黑体" w:eastAsia="黑体" w:cs="黑体"/>
          <w:b/>
          <w:bCs/>
          <w:sz w:val="24"/>
          <w:szCs w:val="24"/>
          <w:highlight w:val="none"/>
        </w:rPr>
        <w:t>的异议</w:t>
      </w:r>
      <w:bookmarkEnd w:id="81"/>
    </w:p>
    <w:p w14:paraId="5C7B1FD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或者其他利害关系人对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有异议的，应当在</w:t>
      </w:r>
      <w:r>
        <w:rPr>
          <w:rFonts w:hint="eastAsia" w:ascii="黑体" w:hAnsi="黑体" w:eastAsia="黑体" w:cs="黑体"/>
          <w:color w:val="000000"/>
          <w:sz w:val="24"/>
          <w:szCs w:val="24"/>
          <w:highlight w:val="none"/>
          <w:lang w:eastAsia="zh-CN"/>
        </w:rPr>
        <w:t>投标截止</w:t>
      </w:r>
      <w:r>
        <w:rPr>
          <w:rFonts w:hint="eastAsia" w:ascii="黑体" w:hAnsi="黑体" w:eastAsia="黑体" w:cs="黑体"/>
          <w:color w:val="000000"/>
          <w:sz w:val="24"/>
          <w:szCs w:val="24"/>
          <w:highlight w:val="none"/>
        </w:rPr>
        <w:t>时间</w:t>
      </w:r>
      <w:r>
        <w:rPr>
          <w:rFonts w:hint="eastAsia" w:ascii="黑体" w:hAnsi="黑体" w:eastAsia="黑体" w:cs="黑体"/>
          <w:color w:val="000000"/>
          <w:sz w:val="24"/>
          <w:szCs w:val="24"/>
          <w:highlight w:val="none"/>
          <w:lang w:val="en-US" w:eastAsia="zh-CN"/>
        </w:rPr>
        <w:t>5</w:t>
      </w:r>
      <w:r>
        <w:rPr>
          <w:rFonts w:hint="eastAsia" w:ascii="黑体" w:hAnsi="黑体" w:eastAsia="黑体" w:cs="黑体"/>
          <w:color w:val="000000"/>
          <w:sz w:val="24"/>
          <w:szCs w:val="24"/>
          <w:highlight w:val="none"/>
        </w:rPr>
        <w:t>日前以书面形式提出。</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将在收到异议之日起3日内作出答复；作出答复前，将暂停招标投标活动。</w:t>
      </w:r>
    </w:p>
    <w:p w14:paraId="0FE836AC">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lang w:eastAsia="zh-CN"/>
        </w:rPr>
      </w:pPr>
      <w:bookmarkStart w:id="82" w:name="_Toc492300371"/>
      <w:bookmarkEnd w:id="82"/>
      <w:bookmarkStart w:id="83" w:name="_Toc16679"/>
      <w:r>
        <w:rPr>
          <w:rFonts w:hint="eastAsia" w:ascii="黑体" w:hAnsi="黑体" w:eastAsia="黑体" w:cs="黑体"/>
          <w:b/>
          <w:bCs/>
          <w:color w:val="000000"/>
          <w:sz w:val="24"/>
          <w:szCs w:val="24"/>
          <w:highlight w:val="none"/>
        </w:rPr>
        <w:t xml:space="preserve">3. </w:t>
      </w:r>
      <w:r>
        <w:rPr>
          <w:rFonts w:hint="eastAsia" w:ascii="黑体" w:hAnsi="黑体" w:cs="黑体"/>
          <w:b/>
          <w:bCs/>
          <w:color w:val="000000"/>
          <w:sz w:val="24"/>
          <w:szCs w:val="24"/>
          <w:highlight w:val="none"/>
          <w:lang w:eastAsia="zh-CN"/>
        </w:rPr>
        <w:t>投标</w:t>
      </w:r>
      <w:r>
        <w:rPr>
          <w:rFonts w:hint="eastAsia" w:ascii="黑体" w:hAnsi="黑体" w:eastAsia="黑体" w:cs="黑体"/>
          <w:b/>
          <w:bCs/>
          <w:color w:val="000000"/>
          <w:sz w:val="24"/>
          <w:szCs w:val="24"/>
          <w:highlight w:val="none"/>
          <w:lang w:eastAsia="zh-CN"/>
        </w:rPr>
        <w:t>文件</w:t>
      </w:r>
      <w:bookmarkEnd w:id="83"/>
    </w:p>
    <w:p w14:paraId="0AAF9A94">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84" w:name="_Toc492300372"/>
      <w:bookmarkEnd w:id="84"/>
      <w:bookmarkStart w:id="85" w:name="_Toc25570"/>
      <w:r>
        <w:rPr>
          <w:rFonts w:hint="eastAsia" w:ascii="黑体" w:hAnsi="黑体" w:eastAsia="黑体" w:cs="黑体"/>
          <w:b/>
          <w:bCs/>
          <w:sz w:val="24"/>
          <w:szCs w:val="24"/>
          <w:highlight w:val="none"/>
        </w:rPr>
        <w:t xml:space="preserve">3.1 </w:t>
      </w:r>
      <w:r>
        <w:rPr>
          <w:rFonts w:hint="eastAsia" w:ascii="黑体" w:hAnsi="黑体" w:eastAsia="黑体" w:cs="黑体"/>
          <w:b/>
          <w:bCs/>
          <w:sz w:val="24"/>
          <w:szCs w:val="24"/>
          <w:highlight w:val="none"/>
          <w:lang w:eastAsia="zh-CN"/>
        </w:rPr>
        <w:t>投标文件</w:t>
      </w:r>
      <w:r>
        <w:rPr>
          <w:rFonts w:hint="eastAsia" w:ascii="黑体" w:hAnsi="黑体" w:eastAsia="黑体" w:cs="黑体"/>
          <w:b/>
          <w:bCs/>
          <w:sz w:val="24"/>
          <w:szCs w:val="24"/>
          <w:highlight w:val="none"/>
        </w:rPr>
        <w:t>的组成</w:t>
      </w:r>
      <w:bookmarkEnd w:id="85"/>
    </w:p>
    <w:p w14:paraId="0256DF9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3.1.1 </w:t>
      </w:r>
      <w:r>
        <w:rPr>
          <w:rFonts w:hint="eastAsia" w:ascii="黑体" w:hAnsi="黑体" w:eastAsia="黑体" w:cs="黑体"/>
          <w:sz w:val="24"/>
          <w:szCs w:val="24"/>
          <w:highlight w:val="none"/>
          <w:lang w:eastAsia="zh-CN"/>
        </w:rPr>
        <w:t>投标文件</w:t>
      </w:r>
      <w:r>
        <w:rPr>
          <w:rFonts w:hint="eastAsia" w:ascii="黑体" w:hAnsi="黑体" w:eastAsia="黑体" w:cs="黑体"/>
          <w:sz w:val="24"/>
          <w:szCs w:val="24"/>
          <w:highlight w:val="none"/>
        </w:rPr>
        <w:t>应包括下列内容：</w:t>
      </w:r>
    </w:p>
    <w:p w14:paraId="7CA0588B">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一、</w:t>
      </w:r>
      <w:r>
        <w:rPr>
          <w:rFonts w:hint="eastAsia" w:ascii="黑体" w:hAnsi="黑体" w:eastAsia="黑体" w:cs="黑体"/>
          <w:sz w:val="24"/>
          <w:szCs w:val="24"/>
          <w:highlight w:val="none"/>
          <w:lang w:eastAsia="zh-CN"/>
        </w:rPr>
        <w:t>投标</w:t>
      </w:r>
      <w:r>
        <w:rPr>
          <w:rFonts w:hint="eastAsia" w:ascii="黑体" w:hAnsi="黑体" w:eastAsia="黑体" w:cs="黑体"/>
          <w:sz w:val="24"/>
          <w:szCs w:val="24"/>
          <w:highlight w:val="none"/>
        </w:rPr>
        <w:t>函及</w:t>
      </w:r>
      <w:r>
        <w:rPr>
          <w:rFonts w:hint="eastAsia" w:ascii="黑体" w:hAnsi="黑体" w:eastAsia="黑体" w:cs="黑体"/>
          <w:sz w:val="24"/>
          <w:szCs w:val="24"/>
          <w:highlight w:val="none"/>
          <w:lang w:eastAsia="zh-CN"/>
        </w:rPr>
        <w:t>投标</w:t>
      </w:r>
      <w:r>
        <w:rPr>
          <w:rFonts w:hint="eastAsia" w:ascii="黑体" w:hAnsi="黑体" w:eastAsia="黑体" w:cs="黑体"/>
          <w:sz w:val="24"/>
          <w:szCs w:val="24"/>
          <w:highlight w:val="none"/>
        </w:rPr>
        <w:t>函附录</w:t>
      </w:r>
    </w:p>
    <w:p w14:paraId="519D02EC">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二、法定代表人身份证明</w:t>
      </w:r>
    </w:p>
    <w:p w14:paraId="3181E3E3">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三</w:t>
      </w:r>
      <w:r>
        <w:rPr>
          <w:rFonts w:hint="eastAsia" w:ascii="黑体" w:hAnsi="黑体" w:eastAsia="黑体" w:cs="黑体"/>
          <w:sz w:val="24"/>
          <w:szCs w:val="24"/>
          <w:highlight w:val="none"/>
        </w:rPr>
        <w:t>、授权委托书</w:t>
      </w:r>
    </w:p>
    <w:p w14:paraId="0F203B68">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四</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报价明细表</w:t>
      </w:r>
    </w:p>
    <w:p w14:paraId="1AE80D10">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五、商务条款偏离表</w:t>
      </w:r>
    </w:p>
    <w:p w14:paraId="2BD5AFD1">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lang w:val="en-US" w:eastAsia="zh-CN"/>
        </w:rPr>
      </w:pPr>
      <w:r>
        <w:rPr>
          <w:rFonts w:hint="eastAsia" w:ascii="黑体" w:hAnsi="黑体" w:eastAsia="黑体" w:cs="黑体"/>
          <w:sz w:val="24"/>
          <w:szCs w:val="24"/>
          <w:highlight w:val="none"/>
          <w:lang w:val="en-US" w:eastAsia="zh-CN"/>
        </w:rPr>
        <w:t>六、技术条款偏离表</w:t>
      </w:r>
    </w:p>
    <w:p w14:paraId="3B0CA68C">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七、备品备件清单</w:t>
      </w:r>
    </w:p>
    <w:p w14:paraId="5C0A5744">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八、</w:t>
      </w:r>
      <w:r>
        <w:rPr>
          <w:rFonts w:hint="eastAsia" w:ascii="黑体" w:hAnsi="黑体" w:eastAsia="黑体" w:cs="黑体"/>
          <w:sz w:val="24"/>
          <w:szCs w:val="24"/>
          <w:highlight w:val="none"/>
        </w:rPr>
        <w:t>资格审查资料</w:t>
      </w:r>
    </w:p>
    <w:p w14:paraId="4E0DE318">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lang w:eastAsia="zh-CN"/>
        </w:rPr>
      </w:pPr>
      <w:r>
        <w:rPr>
          <w:rFonts w:hint="eastAsia" w:ascii="黑体" w:hAnsi="黑体" w:eastAsia="黑体" w:cs="黑体"/>
          <w:sz w:val="24"/>
          <w:szCs w:val="24"/>
          <w:highlight w:val="none"/>
          <w:lang w:val="en-US" w:eastAsia="zh-CN"/>
        </w:rPr>
        <w:t>九</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技术部分</w:t>
      </w:r>
    </w:p>
    <w:p w14:paraId="73F8803D">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十</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 xml:space="preserve">相关服务计划 </w:t>
      </w:r>
    </w:p>
    <w:p w14:paraId="4A835D63">
      <w:pPr>
        <w:keepNext w:val="0"/>
        <w:keepLines w:val="0"/>
        <w:pageBreakBefore w:val="0"/>
        <w:widowControl w:val="0"/>
        <w:kinsoku/>
        <w:wordWrap/>
        <w:overflowPunct/>
        <w:topLinePunct w:val="0"/>
        <w:autoSpaceDE/>
        <w:autoSpaceDN/>
        <w:bidi w:val="0"/>
        <w:adjustRightInd/>
        <w:snapToGrid/>
        <w:spacing w:line="360" w:lineRule="auto"/>
        <w:ind w:left="0" w:firstLine="840" w:firstLineChars="35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十一、其他资料</w:t>
      </w:r>
    </w:p>
    <w:p w14:paraId="51892CA3">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在评标过程中作出的符合法律法规和</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规定的澄清确认，构成</w:t>
      </w:r>
      <w:r>
        <w:rPr>
          <w:rFonts w:hint="eastAsia" w:ascii="黑体" w:hAnsi="黑体" w:eastAsia="黑体" w:cs="黑体"/>
          <w:sz w:val="24"/>
          <w:szCs w:val="24"/>
          <w:highlight w:val="none"/>
          <w:lang w:eastAsia="zh-CN"/>
        </w:rPr>
        <w:t>投标文件</w:t>
      </w:r>
      <w:r>
        <w:rPr>
          <w:rFonts w:hint="eastAsia" w:ascii="黑体" w:hAnsi="黑体" w:eastAsia="黑体" w:cs="黑体"/>
          <w:sz w:val="24"/>
          <w:szCs w:val="24"/>
          <w:highlight w:val="none"/>
        </w:rPr>
        <w:t>的组成部分。</w:t>
      </w:r>
    </w:p>
    <w:p w14:paraId="54F70F4F">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3.1.2 </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须知前附表规定不接受联合体投标的，或</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没有组成联合体的，</w:t>
      </w:r>
      <w:r>
        <w:rPr>
          <w:rFonts w:hint="eastAsia" w:ascii="黑体" w:hAnsi="黑体" w:eastAsia="黑体" w:cs="黑体"/>
          <w:sz w:val="24"/>
          <w:szCs w:val="24"/>
          <w:highlight w:val="none"/>
          <w:lang w:eastAsia="zh-CN"/>
        </w:rPr>
        <w:t>投标文件</w:t>
      </w:r>
      <w:r>
        <w:rPr>
          <w:rFonts w:hint="eastAsia" w:ascii="黑体" w:hAnsi="黑体" w:eastAsia="黑体" w:cs="黑体"/>
          <w:sz w:val="24"/>
          <w:szCs w:val="24"/>
          <w:highlight w:val="none"/>
        </w:rPr>
        <w:t>不包括本章第3.1.1（3）目所指的联合体协议书。</w:t>
      </w:r>
    </w:p>
    <w:p w14:paraId="20EB7BD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sz w:val="24"/>
          <w:szCs w:val="24"/>
          <w:highlight w:val="none"/>
        </w:rPr>
        <w:t xml:space="preserve">3.1.3 </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须知前附表未要求提交投标保证金的，</w:t>
      </w:r>
      <w:r>
        <w:rPr>
          <w:rFonts w:hint="eastAsia" w:ascii="黑体" w:hAnsi="黑体" w:eastAsia="黑体" w:cs="黑体"/>
          <w:sz w:val="24"/>
          <w:szCs w:val="24"/>
          <w:highlight w:val="none"/>
          <w:lang w:val="en-US" w:eastAsia="zh-CN"/>
        </w:rPr>
        <w:t>响应</w:t>
      </w:r>
      <w:r>
        <w:rPr>
          <w:rFonts w:hint="eastAsia" w:ascii="黑体" w:hAnsi="黑体" w:eastAsia="黑体" w:cs="黑体"/>
          <w:sz w:val="24"/>
          <w:szCs w:val="24"/>
          <w:highlight w:val="none"/>
          <w:lang w:eastAsia="zh-CN"/>
        </w:rPr>
        <w:t>文件</w:t>
      </w:r>
      <w:r>
        <w:rPr>
          <w:rFonts w:hint="eastAsia" w:ascii="黑体" w:hAnsi="黑体" w:eastAsia="黑体" w:cs="黑体"/>
          <w:sz w:val="24"/>
          <w:szCs w:val="24"/>
          <w:highlight w:val="none"/>
        </w:rPr>
        <w:t>不包括本章第3.1.1（4）目所指的投标保证金。</w:t>
      </w:r>
    </w:p>
    <w:p w14:paraId="3DA30243">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86" w:name="_Toc492300373"/>
      <w:bookmarkEnd w:id="86"/>
      <w:bookmarkStart w:id="87" w:name="_Toc23129"/>
      <w:r>
        <w:rPr>
          <w:rFonts w:hint="eastAsia" w:ascii="黑体" w:hAnsi="黑体" w:eastAsia="黑体" w:cs="黑体"/>
          <w:b/>
          <w:bCs/>
          <w:sz w:val="24"/>
          <w:szCs w:val="24"/>
          <w:highlight w:val="none"/>
        </w:rPr>
        <w:t>3.2 投标报价</w:t>
      </w:r>
      <w:bookmarkEnd w:id="87"/>
    </w:p>
    <w:p w14:paraId="2DFC2EDF">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3.2.1投标报价应包括国家规定的增值税税金，除</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须知前附表另有规定外，增值税税金按一般计税方法计算。</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应按第六章“</w:t>
      </w:r>
      <w:r>
        <w:rPr>
          <w:rFonts w:hint="eastAsia" w:ascii="黑体" w:hAnsi="黑体" w:eastAsia="黑体" w:cs="黑体"/>
          <w:sz w:val="24"/>
          <w:szCs w:val="24"/>
          <w:highlight w:val="none"/>
          <w:lang w:eastAsia="zh-CN"/>
        </w:rPr>
        <w:t>投标文件</w:t>
      </w:r>
      <w:r>
        <w:rPr>
          <w:rFonts w:hint="eastAsia" w:ascii="黑体" w:hAnsi="黑体" w:eastAsia="黑体" w:cs="黑体"/>
          <w:sz w:val="24"/>
          <w:szCs w:val="24"/>
          <w:highlight w:val="none"/>
        </w:rPr>
        <w:t>格式”的要求在投标函中进行报价并填写费用清单。</w:t>
      </w:r>
    </w:p>
    <w:p w14:paraId="5F9BDDD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3.2.2 </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应充分了解该项目的总体情况以及影响投标报价的其他要素。</w:t>
      </w:r>
    </w:p>
    <w:p w14:paraId="74F76DE9">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3.2.3</w:t>
      </w:r>
      <w:bookmarkStart w:id="88" w:name="_Toc247527568"/>
      <w:bookmarkEnd w:id="88"/>
      <w:bookmarkStart w:id="89" w:name="_Toc152042319"/>
      <w:bookmarkEnd w:id="89"/>
      <w:bookmarkStart w:id="90" w:name="_Toc247513967"/>
      <w:bookmarkEnd w:id="90"/>
      <w:bookmarkStart w:id="91" w:name="_Toc369531530"/>
      <w:bookmarkEnd w:id="91"/>
      <w:bookmarkStart w:id="92" w:name="_Toc361508599"/>
      <w:bookmarkEnd w:id="92"/>
      <w:bookmarkStart w:id="93" w:name="_Toc300834964"/>
      <w:bookmarkEnd w:id="93"/>
      <w:bookmarkStart w:id="94" w:name="_Toc384308224"/>
      <w:bookmarkEnd w:id="94"/>
      <w:bookmarkStart w:id="95" w:name="_Toc144974511"/>
      <w:bookmarkEnd w:id="95"/>
      <w:bookmarkStart w:id="96" w:name="_Toc352691487"/>
      <w:bookmarkEnd w:id="96"/>
      <w:bookmarkStart w:id="97" w:name="_Toc15242"/>
      <w:bookmarkEnd w:id="97"/>
      <w:bookmarkStart w:id="98" w:name="_Toc152045543"/>
      <w:bookmarkEnd w:id="98"/>
      <w:r>
        <w:rPr>
          <w:rFonts w:hint="eastAsia" w:ascii="黑体" w:hAnsi="黑体" w:eastAsia="黑体" w:cs="黑体"/>
          <w:sz w:val="24"/>
          <w:szCs w:val="24"/>
          <w:highlight w:val="none"/>
        </w:rPr>
        <w:t xml:space="preserve"> 本项目的报价方式见</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在</w:t>
      </w:r>
      <w:r>
        <w:rPr>
          <w:rFonts w:hint="eastAsia" w:ascii="黑体" w:hAnsi="黑体" w:eastAsia="黑体" w:cs="黑体"/>
          <w:sz w:val="24"/>
          <w:szCs w:val="24"/>
          <w:highlight w:val="none"/>
          <w:lang w:eastAsia="zh-CN"/>
        </w:rPr>
        <w:t>投标截止</w:t>
      </w:r>
      <w:r>
        <w:rPr>
          <w:rFonts w:hint="eastAsia" w:ascii="黑体" w:hAnsi="黑体" w:eastAsia="黑体" w:cs="黑体"/>
          <w:sz w:val="24"/>
          <w:szCs w:val="24"/>
          <w:highlight w:val="none"/>
        </w:rPr>
        <w:t>时间前修改投标函中的投标报价总额，应同时修改</w:t>
      </w:r>
      <w:r>
        <w:rPr>
          <w:rFonts w:hint="eastAsia" w:ascii="黑体" w:hAnsi="黑体" w:eastAsia="黑体" w:cs="黑体"/>
          <w:sz w:val="24"/>
          <w:szCs w:val="24"/>
          <w:highlight w:val="none"/>
          <w:lang w:eastAsia="zh-CN"/>
        </w:rPr>
        <w:t>投标文件</w:t>
      </w:r>
      <w:r>
        <w:rPr>
          <w:rFonts w:hint="eastAsia" w:ascii="黑体" w:hAnsi="黑体" w:eastAsia="黑体" w:cs="黑体"/>
          <w:sz w:val="24"/>
          <w:szCs w:val="24"/>
          <w:highlight w:val="none"/>
        </w:rPr>
        <w:t>“费用清单”中的相应报价。此修改须符合本章第4.3款的有关要求。</w:t>
      </w:r>
    </w:p>
    <w:p w14:paraId="7D8B79E8">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sz w:val="24"/>
          <w:szCs w:val="24"/>
          <w:highlight w:val="none"/>
        </w:rPr>
        <w:t>3.2.4</w:t>
      </w:r>
      <w:r>
        <w:rPr>
          <w:rFonts w:hint="eastAsia" w:ascii="黑体" w:hAnsi="黑体" w:eastAsia="黑体" w:cs="黑体"/>
          <w:sz w:val="24"/>
          <w:szCs w:val="24"/>
          <w:highlight w:val="none"/>
          <w:lang w:eastAsia="zh-CN"/>
        </w:rPr>
        <w:t>采购人</w:t>
      </w:r>
      <w:r>
        <w:rPr>
          <w:rFonts w:hint="eastAsia" w:ascii="黑体" w:hAnsi="黑体" w:eastAsia="黑体" w:cs="黑体"/>
          <w:sz w:val="24"/>
          <w:szCs w:val="24"/>
          <w:highlight w:val="none"/>
        </w:rPr>
        <w:t>设有最高</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限价的，</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的</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报价不得超过最高</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限价，最高</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限价在</w:t>
      </w:r>
      <w:bookmarkStart w:id="99" w:name="_Toc384308225"/>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须知前附表中载明。</w:t>
      </w:r>
      <w:bookmarkEnd w:id="99"/>
    </w:p>
    <w:p w14:paraId="0DD0896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3.2.5 </w:t>
      </w:r>
      <w:r>
        <w:rPr>
          <w:rFonts w:hint="eastAsia" w:ascii="黑体" w:hAnsi="黑体" w:eastAsia="黑体" w:cs="黑体"/>
          <w:color w:val="000000"/>
          <w:sz w:val="24"/>
          <w:szCs w:val="24"/>
          <w:highlight w:val="none"/>
          <w:lang w:val="en-US" w:eastAsia="zh-CN"/>
        </w:rPr>
        <w:t>投标</w:t>
      </w:r>
      <w:r>
        <w:rPr>
          <w:rFonts w:hint="eastAsia" w:ascii="黑体" w:hAnsi="黑体" w:eastAsia="黑体" w:cs="黑体"/>
          <w:color w:val="000000"/>
          <w:sz w:val="24"/>
          <w:szCs w:val="24"/>
          <w:highlight w:val="none"/>
        </w:rPr>
        <w:t>报价的其他要求见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p>
    <w:p w14:paraId="19DD4006">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00" w:name="_Toc492300374"/>
      <w:bookmarkEnd w:id="100"/>
      <w:bookmarkStart w:id="101" w:name="_Toc20782"/>
      <w:r>
        <w:rPr>
          <w:rFonts w:hint="eastAsia" w:ascii="黑体" w:hAnsi="黑体" w:eastAsia="黑体" w:cs="黑体"/>
          <w:b/>
          <w:bCs/>
          <w:sz w:val="24"/>
          <w:szCs w:val="24"/>
          <w:highlight w:val="none"/>
        </w:rPr>
        <w:t>3.3 投标有效期</w:t>
      </w:r>
      <w:bookmarkEnd w:id="101"/>
    </w:p>
    <w:p w14:paraId="72F041E3">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3.3.1 除</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须知前附表另有规定外，投标有效期为90天</w:t>
      </w:r>
      <w:r>
        <w:rPr>
          <w:rFonts w:hint="eastAsia" w:ascii="黑体" w:hAnsi="黑体" w:eastAsia="黑体" w:cs="黑体"/>
          <w:color w:val="000000"/>
          <w:sz w:val="24"/>
          <w:szCs w:val="24"/>
          <w:highlight w:val="none"/>
        </w:rPr>
        <w:t>。</w:t>
      </w:r>
    </w:p>
    <w:p w14:paraId="55616EC7">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3.3.2 在投标有效期内，</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撤销</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的，应承担</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和法律规定的责任。</w:t>
      </w:r>
    </w:p>
    <w:p w14:paraId="204E982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color w:val="000000"/>
          <w:sz w:val="24"/>
          <w:szCs w:val="24"/>
          <w:highlight w:val="none"/>
        </w:rPr>
        <w:t>3.3.3 出现特殊情况需要延长投标有效期的，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以书面形式通知所有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延长投标有效期。</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应予以书面答复，同意延长的，应相应延长其投标保证金的有效期，但不得要求或被允许修改其</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拒绝延长的，其投标失效，但</w:t>
      </w:r>
      <w:r>
        <w:rPr>
          <w:rFonts w:hint="eastAsia" w:ascii="黑体" w:hAnsi="黑体" w:eastAsia="黑体" w:cs="黑体"/>
          <w:color w:val="000000"/>
          <w:sz w:val="24"/>
          <w:szCs w:val="24"/>
          <w:highlight w:val="none"/>
          <w:lang w:eastAsia="zh-CN"/>
        </w:rPr>
        <w:t>供应商</w:t>
      </w:r>
      <w:r>
        <w:rPr>
          <w:rFonts w:hint="eastAsia" w:ascii="黑体" w:hAnsi="黑体" w:eastAsia="黑体" w:cs="黑体"/>
          <w:sz w:val="24"/>
          <w:szCs w:val="24"/>
          <w:highlight w:val="none"/>
        </w:rPr>
        <w:t>有权收回其投标保证金及以现金或者支票形式递交的投标保证金的银行同期存款利息。</w:t>
      </w:r>
    </w:p>
    <w:p w14:paraId="38B46897">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02" w:name="_Toc492300375"/>
      <w:bookmarkEnd w:id="102"/>
      <w:bookmarkStart w:id="103" w:name="_Toc15222"/>
      <w:r>
        <w:rPr>
          <w:rFonts w:hint="eastAsia" w:ascii="黑体" w:hAnsi="黑体" w:eastAsia="黑体" w:cs="黑体"/>
          <w:b/>
          <w:bCs/>
          <w:sz w:val="24"/>
          <w:szCs w:val="24"/>
          <w:highlight w:val="none"/>
        </w:rPr>
        <w:t>3.4 投标保证金</w:t>
      </w:r>
      <w:bookmarkEnd w:id="103"/>
    </w:p>
    <w:p w14:paraId="308CA328">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3.4.1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在递交</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的同时，应按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须知前附表规定的金额</w:t>
      </w:r>
      <w:bookmarkStart w:id="104" w:name="_Toc247527570"/>
      <w:bookmarkEnd w:id="104"/>
      <w:bookmarkStart w:id="105" w:name="_Toc300834966"/>
      <w:bookmarkEnd w:id="105"/>
      <w:bookmarkStart w:id="106" w:name="_Toc144974513"/>
      <w:bookmarkEnd w:id="106"/>
      <w:bookmarkStart w:id="107" w:name="_Toc152045545"/>
      <w:bookmarkEnd w:id="107"/>
      <w:bookmarkStart w:id="108" w:name="_Toc152042321"/>
      <w:bookmarkEnd w:id="108"/>
      <w:bookmarkStart w:id="109" w:name="_Toc361508601"/>
      <w:bookmarkEnd w:id="109"/>
      <w:bookmarkStart w:id="110" w:name="_Toc4592"/>
      <w:bookmarkEnd w:id="110"/>
      <w:bookmarkStart w:id="111" w:name="_Toc247513969"/>
      <w:bookmarkEnd w:id="111"/>
      <w:bookmarkStart w:id="112" w:name="_Toc384308226"/>
      <w:bookmarkEnd w:id="112"/>
      <w:bookmarkStart w:id="113" w:name="_Toc369531532"/>
      <w:bookmarkEnd w:id="113"/>
      <w:bookmarkStart w:id="114" w:name="_Toc352691489"/>
      <w:r>
        <w:rPr>
          <w:rFonts w:hint="eastAsia" w:ascii="黑体" w:hAnsi="黑体" w:eastAsia="黑体" w:cs="黑体"/>
          <w:color w:val="000000"/>
          <w:sz w:val="24"/>
          <w:szCs w:val="24"/>
          <w:highlight w:val="none"/>
        </w:rPr>
        <w:t>、形式和第六章“</w:t>
      </w:r>
      <w:bookmarkEnd w:id="114"/>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格式”规定的投标保证金格式递交投标保证金，并作为其</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的组成部分。境内</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以现金或者支票形式提交的投标保证金，应当从其基本账户转出并在</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中附上基本账户开户证明。联合体投标的，其投标保证金可以由牵头人递交，并应符合</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须知前附表的规定。</w:t>
      </w:r>
    </w:p>
    <w:p w14:paraId="1B414B3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3.4.2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不按本章第3.4.1项</w:t>
      </w:r>
      <w:bookmarkStart w:id="115" w:name="_Toc352691490"/>
      <w:bookmarkEnd w:id="115"/>
      <w:bookmarkStart w:id="116" w:name="_Toc361508602"/>
      <w:bookmarkEnd w:id="116"/>
      <w:bookmarkStart w:id="117" w:name="_Toc369531533"/>
      <w:bookmarkEnd w:id="117"/>
      <w:bookmarkStart w:id="118" w:name="_Toc29025"/>
      <w:bookmarkEnd w:id="118"/>
      <w:bookmarkStart w:id="119" w:name="_Toc384308227"/>
      <w:r>
        <w:rPr>
          <w:rFonts w:hint="eastAsia" w:ascii="黑体" w:hAnsi="黑体" w:eastAsia="黑体" w:cs="黑体"/>
          <w:color w:val="000000"/>
          <w:sz w:val="24"/>
          <w:szCs w:val="24"/>
          <w:highlight w:val="none"/>
        </w:rPr>
        <w:t>要求提交投标保证金的，</w:t>
      </w:r>
      <w:bookmarkEnd w:id="119"/>
      <w:r>
        <w:rPr>
          <w:rFonts w:hint="eastAsia" w:ascii="黑体" w:hAnsi="黑体" w:eastAsia="黑体" w:cs="黑体"/>
          <w:color w:val="000000"/>
          <w:sz w:val="24"/>
          <w:szCs w:val="24"/>
          <w:highlight w:val="none"/>
        </w:rPr>
        <w:t>评标委员会将否决其投标。</w:t>
      </w:r>
    </w:p>
    <w:p w14:paraId="53D9E13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3.4.3 </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最迟将在与</w:t>
      </w:r>
      <w:bookmarkStart w:id="120" w:name="_Toc247513970"/>
      <w:bookmarkEnd w:id="120"/>
      <w:bookmarkStart w:id="121" w:name="_Toc247527571"/>
      <w:bookmarkEnd w:id="121"/>
      <w:bookmarkStart w:id="122" w:name="_Toc369531534"/>
      <w:bookmarkEnd w:id="122"/>
      <w:bookmarkStart w:id="123" w:name="_Toc144974514"/>
      <w:bookmarkEnd w:id="123"/>
      <w:bookmarkStart w:id="124" w:name="_Toc352691491"/>
      <w:bookmarkEnd w:id="124"/>
      <w:bookmarkStart w:id="125" w:name="_Toc361508603"/>
      <w:bookmarkEnd w:id="125"/>
      <w:bookmarkStart w:id="126" w:name="_Toc14751"/>
      <w:bookmarkEnd w:id="126"/>
      <w:bookmarkStart w:id="127" w:name="_Toc384308228"/>
      <w:bookmarkEnd w:id="127"/>
      <w:bookmarkStart w:id="128" w:name="_Toc300834967"/>
      <w:bookmarkEnd w:id="128"/>
      <w:bookmarkStart w:id="129" w:name="_Toc152042322"/>
      <w:bookmarkEnd w:id="129"/>
      <w:bookmarkStart w:id="130" w:name="_Toc152045546"/>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签订合同后5日</w:t>
      </w:r>
      <w:bookmarkEnd w:id="130"/>
      <w:r>
        <w:rPr>
          <w:rFonts w:hint="eastAsia" w:ascii="黑体" w:hAnsi="黑体" w:eastAsia="黑体" w:cs="黑体"/>
          <w:color w:val="000000"/>
          <w:sz w:val="24"/>
          <w:szCs w:val="24"/>
          <w:highlight w:val="none"/>
        </w:rPr>
        <w:t>内</w:t>
      </w:r>
      <w:bookmarkStart w:id="131" w:name="_Toc247527572"/>
      <w:bookmarkEnd w:id="131"/>
      <w:bookmarkStart w:id="132" w:name="_Toc152045547"/>
      <w:bookmarkEnd w:id="132"/>
      <w:bookmarkStart w:id="133" w:name="_Toc352691492"/>
      <w:bookmarkEnd w:id="133"/>
      <w:bookmarkStart w:id="134" w:name="_Toc300834968"/>
      <w:bookmarkEnd w:id="134"/>
      <w:bookmarkStart w:id="135" w:name="_Toc361508604"/>
      <w:bookmarkEnd w:id="135"/>
      <w:bookmarkStart w:id="136" w:name="_Toc247513971"/>
      <w:bookmarkEnd w:id="136"/>
      <w:bookmarkStart w:id="137" w:name="_Toc144974515"/>
      <w:bookmarkEnd w:id="137"/>
      <w:bookmarkStart w:id="138" w:name="_Toc369531535"/>
      <w:bookmarkEnd w:id="138"/>
      <w:bookmarkStart w:id="139" w:name="_Toc152042323"/>
      <w:bookmarkEnd w:id="139"/>
      <w:bookmarkStart w:id="140" w:name="_Toc384308229"/>
      <w:bookmarkEnd w:id="140"/>
      <w:bookmarkStart w:id="141" w:name="_Toc17952"/>
      <w:r>
        <w:rPr>
          <w:rFonts w:hint="eastAsia" w:ascii="黑体" w:hAnsi="黑体" w:eastAsia="黑体" w:cs="黑体"/>
          <w:color w:val="000000"/>
          <w:sz w:val="24"/>
          <w:szCs w:val="24"/>
          <w:highlight w:val="none"/>
        </w:rPr>
        <w:t>，向未中标的</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和</w:t>
      </w:r>
      <w:bookmarkEnd w:id="141"/>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退还投标保证金。投标保证金以现金或者支票形式递交的，还应退还银行同期存款利息。</w:t>
      </w:r>
    </w:p>
    <w:p w14:paraId="6E99630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3.4.4 有下列情形之一的，投标保证金将不予退还：</w:t>
      </w:r>
    </w:p>
    <w:p w14:paraId="1DE72DE8">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在投标有效期内撤销</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w:t>
      </w:r>
    </w:p>
    <w:p w14:paraId="212F178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在收到中标通知书后，无正当理由不与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订立合同，在签订合同时向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提出附加条件，或者不按照</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要求提交履约保证金；</w:t>
      </w:r>
    </w:p>
    <w:p w14:paraId="4DC7EBC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（3）发生</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r>
        <w:rPr>
          <w:rFonts w:hint="eastAsia" w:ascii="黑体" w:hAnsi="黑体" w:eastAsia="黑体" w:cs="黑体"/>
          <w:sz w:val="24"/>
          <w:szCs w:val="24"/>
          <w:highlight w:val="none"/>
        </w:rPr>
        <w:t>规定的其他可以不予退还投标保证金的情形。</w:t>
      </w:r>
    </w:p>
    <w:p w14:paraId="6CC11A22">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42" w:name="_Toc492300377"/>
      <w:bookmarkEnd w:id="142"/>
      <w:bookmarkStart w:id="143" w:name="_Toc14331"/>
      <w:r>
        <w:rPr>
          <w:rFonts w:hint="eastAsia" w:ascii="黑体" w:hAnsi="黑体" w:eastAsia="黑体" w:cs="黑体"/>
          <w:b/>
          <w:bCs/>
          <w:sz w:val="24"/>
          <w:szCs w:val="24"/>
          <w:highlight w:val="none"/>
        </w:rPr>
        <w:t>3.5 资格审查资料</w:t>
      </w:r>
      <w:bookmarkEnd w:id="143"/>
    </w:p>
    <w:p w14:paraId="52BDBF0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除</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须知前附表另有规定外，</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应按下列规定提供资格审查资料，以证明其满足本章第1.4款规定的</w:t>
      </w:r>
      <w:r>
        <w:rPr>
          <w:rFonts w:hint="eastAsia" w:ascii="黑体" w:hAnsi="黑体" w:eastAsia="黑体" w:cs="黑体"/>
          <w:color w:val="000000"/>
          <w:sz w:val="24"/>
          <w:szCs w:val="24"/>
          <w:highlight w:val="none"/>
        </w:rPr>
        <w:t>资质、财务、业绩、信誉等要求。</w:t>
      </w:r>
    </w:p>
    <w:p w14:paraId="03D0E5E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sz w:val="24"/>
          <w:szCs w:val="24"/>
          <w:highlight w:val="none"/>
        </w:rPr>
        <w:t>3.5.1 “</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基本情况表”应附</w:t>
      </w:r>
      <w:r>
        <w:rPr>
          <w:rFonts w:hint="eastAsia" w:ascii="黑体" w:hAnsi="黑体" w:eastAsia="黑体" w:cs="黑体"/>
          <w:sz w:val="24"/>
          <w:szCs w:val="24"/>
          <w:highlight w:val="none"/>
          <w:lang w:eastAsia="zh-CN"/>
        </w:rPr>
        <w:t>供应商</w:t>
      </w:r>
      <w:r>
        <w:rPr>
          <w:rFonts w:hint="eastAsia" w:ascii="黑体" w:hAnsi="黑体" w:eastAsia="黑体" w:cs="黑体"/>
          <w:color w:val="000000"/>
          <w:sz w:val="24"/>
          <w:szCs w:val="24"/>
          <w:highlight w:val="none"/>
        </w:rPr>
        <w:t>营业执照和组织机构代码证的复印件（按照“三证合一”或“五证合一”登记制度进行登记的，可仅提供营业执照复印件）</w:t>
      </w:r>
      <w:r>
        <w:rPr>
          <w:rFonts w:hint="eastAsia" w:ascii="黑体" w:hAnsi="黑体" w:eastAsia="黑体" w:cs="黑体"/>
          <w:color w:val="auto"/>
          <w:sz w:val="24"/>
          <w:szCs w:val="24"/>
          <w:highlight w:val="none"/>
        </w:rPr>
        <w:t>或</w:t>
      </w:r>
      <w:r>
        <w:rPr>
          <w:rFonts w:hint="eastAsia" w:ascii="黑体" w:hAnsi="黑体" w:eastAsia="黑体" w:cs="黑体"/>
          <w:color w:val="auto"/>
          <w:sz w:val="24"/>
          <w:szCs w:val="24"/>
          <w:highlight w:val="none"/>
          <w:lang w:eastAsia="zh-CN"/>
        </w:rPr>
        <w:t>事业单位法人证书</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资质证书副本等材料的复印件。</w:t>
      </w:r>
    </w:p>
    <w:p w14:paraId="3750F8D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3.5.2 “近年财务状况表”应附经会计师事务所或审计机构审计的财务会计报表，包括资产负债表、利润表和财务情况说明书的复印件，具体年份要求见</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的成立时间少于</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须知前附表规定年份的，应提供成立以来的财务状况表。</w:t>
      </w:r>
    </w:p>
    <w:p w14:paraId="50B5C2D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3.5.3 “近年完成的类似项目情况表”应附中标通知书和（或）合同协议书、发包人出具的证明文件；具体时间要求见</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须知前附表，每张表格只填写一个项目，并标明序号。</w:t>
      </w:r>
    </w:p>
    <w:p w14:paraId="6571C3AF">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3.5.4 “正在和新承接的项目情况表”应附中标通知书和（或）合同协议书复印件。每张表格只填写一个项目，并标明序号。</w:t>
      </w:r>
    </w:p>
    <w:p w14:paraId="3A8741E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3.5.5 “近年发生的诉讼及仲裁情况”应说明</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败诉的合同的相关情况，并附法院或仲裁机构作出的判决、裁决等有关法律文书复印件，具体时间要求见</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w:t>
      </w:r>
    </w:p>
    <w:p w14:paraId="35F4D05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3.5.6 “拟委任的主要人员汇总表”应填报满足本章第1.4.1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w:t>
      </w:r>
    </w:p>
    <w:p w14:paraId="14EABB3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3.5.7</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须知前附表规定接受联合体投标的，本章第3.5.1项至第3.5.6项规定的表格和资料应包括联合体各方相关情况。</w:t>
      </w:r>
    </w:p>
    <w:p w14:paraId="2936C34A">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lang w:eastAsia="zh-CN"/>
        </w:rPr>
      </w:pPr>
      <w:bookmarkStart w:id="144" w:name="_Toc492300378"/>
      <w:bookmarkEnd w:id="144"/>
      <w:bookmarkStart w:id="145" w:name="_Toc22849"/>
      <w:r>
        <w:rPr>
          <w:rFonts w:hint="eastAsia" w:ascii="黑体" w:hAnsi="黑体" w:eastAsia="黑体" w:cs="黑体"/>
          <w:b/>
          <w:bCs/>
          <w:sz w:val="24"/>
          <w:szCs w:val="24"/>
          <w:highlight w:val="none"/>
        </w:rPr>
        <w:t>3.6 备选</w:t>
      </w:r>
      <w:r>
        <w:rPr>
          <w:rFonts w:hint="eastAsia" w:ascii="黑体" w:hAnsi="黑体" w:eastAsia="黑体" w:cs="黑体"/>
          <w:b/>
          <w:bCs/>
          <w:sz w:val="24"/>
          <w:szCs w:val="24"/>
          <w:highlight w:val="none"/>
          <w:lang w:eastAsia="zh-CN"/>
        </w:rPr>
        <w:t>投标方案</w:t>
      </w:r>
      <w:bookmarkEnd w:id="145"/>
    </w:p>
    <w:p w14:paraId="5ADCC4E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3.6.1 除</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须知前附表规定允许外，</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不得递交备选</w:t>
      </w:r>
      <w:r>
        <w:rPr>
          <w:rFonts w:hint="eastAsia" w:ascii="黑体" w:hAnsi="黑体" w:eastAsia="黑体" w:cs="黑体"/>
          <w:color w:val="000000"/>
          <w:sz w:val="24"/>
          <w:szCs w:val="24"/>
          <w:highlight w:val="none"/>
          <w:lang w:eastAsia="zh-CN"/>
        </w:rPr>
        <w:t>投标方案</w:t>
      </w:r>
      <w:r>
        <w:rPr>
          <w:rFonts w:hint="eastAsia" w:ascii="黑体" w:hAnsi="黑体" w:eastAsia="黑体" w:cs="黑体"/>
          <w:color w:val="000000"/>
          <w:sz w:val="24"/>
          <w:szCs w:val="24"/>
          <w:highlight w:val="none"/>
        </w:rPr>
        <w:t>，否则其投标将被否决。</w:t>
      </w:r>
    </w:p>
    <w:p w14:paraId="4B10E8E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3.6.2 允许</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递交备选</w:t>
      </w:r>
      <w:r>
        <w:rPr>
          <w:rFonts w:hint="eastAsia" w:ascii="黑体" w:hAnsi="黑体" w:eastAsia="黑体" w:cs="黑体"/>
          <w:color w:val="000000"/>
          <w:sz w:val="24"/>
          <w:szCs w:val="24"/>
          <w:highlight w:val="none"/>
          <w:lang w:eastAsia="zh-CN"/>
        </w:rPr>
        <w:t>投标方案</w:t>
      </w:r>
      <w:r>
        <w:rPr>
          <w:rFonts w:hint="eastAsia" w:ascii="黑体" w:hAnsi="黑体" w:eastAsia="黑体" w:cs="黑体"/>
          <w:color w:val="000000"/>
          <w:sz w:val="24"/>
          <w:szCs w:val="24"/>
          <w:highlight w:val="none"/>
        </w:rPr>
        <w:t>的，只有</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所递交的备选</w:t>
      </w:r>
      <w:r>
        <w:rPr>
          <w:rFonts w:hint="eastAsia" w:ascii="黑体" w:hAnsi="黑体" w:eastAsia="黑体" w:cs="黑体"/>
          <w:color w:val="000000"/>
          <w:sz w:val="24"/>
          <w:szCs w:val="24"/>
          <w:highlight w:val="none"/>
          <w:lang w:eastAsia="zh-CN"/>
        </w:rPr>
        <w:t>投标方案</w:t>
      </w:r>
      <w:r>
        <w:rPr>
          <w:rFonts w:hint="eastAsia" w:ascii="黑体" w:hAnsi="黑体" w:eastAsia="黑体" w:cs="黑体"/>
          <w:color w:val="000000"/>
          <w:sz w:val="24"/>
          <w:szCs w:val="24"/>
          <w:highlight w:val="none"/>
        </w:rPr>
        <w:t>方可予以考虑。评标委员会认为</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的备选</w:t>
      </w:r>
      <w:r>
        <w:rPr>
          <w:rFonts w:hint="eastAsia" w:ascii="黑体" w:hAnsi="黑体" w:eastAsia="黑体" w:cs="黑体"/>
          <w:color w:val="000000"/>
          <w:sz w:val="24"/>
          <w:szCs w:val="24"/>
          <w:highlight w:val="none"/>
          <w:lang w:eastAsia="zh-CN"/>
        </w:rPr>
        <w:t>投标方案</w:t>
      </w:r>
      <w:r>
        <w:rPr>
          <w:rFonts w:hint="eastAsia" w:ascii="黑体" w:hAnsi="黑体" w:eastAsia="黑体" w:cs="黑体"/>
          <w:color w:val="000000"/>
          <w:sz w:val="24"/>
          <w:szCs w:val="24"/>
          <w:highlight w:val="none"/>
        </w:rPr>
        <w:t>优于其按照</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要求编制的</w:t>
      </w:r>
      <w:r>
        <w:rPr>
          <w:rFonts w:hint="eastAsia" w:ascii="黑体" w:hAnsi="黑体" w:eastAsia="黑体" w:cs="黑体"/>
          <w:color w:val="000000"/>
          <w:sz w:val="24"/>
          <w:szCs w:val="24"/>
          <w:highlight w:val="none"/>
          <w:lang w:eastAsia="zh-CN"/>
        </w:rPr>
        <w:t>投标方案</w:t>
      </w:r>
      <w:r>
        <w:rPr>
          <w:rFonts w:hint="eastAsia" w:ascii="黑体" w:hAnsi="黑体" w:eastAsia="黑体" w:cs="黑体"/>
          <w:color w:val="000000"/>
          <w:sz w:val="24"/>
          <w:szCs w:val="24"/>
          <w:highlight w:val="none"/>
        </w:rPr>
        <w:t>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可以接受该备选</w:t>
      </w:r>
      <w:r>
        <w:rPr>
          <w:rFonts w:hint="eastAsia" w:ascii="黑体" w:hAnsi="黑体" w:eastAsia="黑体" w:cs="黑体"/>
          <w:color w:val="000000"/>
          <w:sz w:val="24"/>
          <w:szCs w:val="24"/>
          <w:highlight w:val="none"/>
          <w:lang w:eastAsia="zh-CN"/>
        </w:rPr>
        <w:t>投标方案</w:t>
      </w:r>
      <w:r>
        <w:rPr>
          <w:rFonts w:hint="eastAsia" w:ascii="黑体" w:hAnsi="黑体" w:eastAsia="黑体" w:cs="黑体"/>
          <w:color w:val="000000"/>
          <w:sz w:val="24"/>
          <w:szCs w:val="24"/>
          <w:highlight w:val="none"/>
        </w:rPr>
        <w:t>。</w:t>
      </w:r>
    </w:p>
    <w:p w14:paraId="66D5809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3.6.3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提供两个或两个以上投标报价，或者在</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中提供一个报价，但同时提供两个或两个以上</w:t>
      </w:r>
      <w:bookmarkStart w:id="146" w:name="_Toc29902"/>
      <w:bookmarkEnd w:id="146"/>
      <w:bookmarkStart w:id="147" w:name="_Toc144974518"/>
      <w:bookmarkEnd w:id="147"/>
      <w:bookmarkStart w:id="148" w:name="_Toc361508607"/>
      <w:bookmarkEnd w:id="148"/>
      <w:bookmarkStart w:id="149" w:name="_Toc300834971"/>
      <w:bookmarkEnd w:id="149"/>
      <w:bookmarkStart w:id="150" w:name="_Toc352691495"/>
      <w:bookmarkEnd w:id="150"/>
      <w:bookmarkStart w:id="151" w:name="_Toc152042326"/>
      <w:bookmarkEnd w:id="151"/>
      <w:bookmarkStart w:id="152" w:name="_Toc247513974"/>
      <w:bookmarkEnd w:id="152"/>
      <w:bookmarkStart w:id="153" w:name="_Toc384308232"/>
      <w:bookmarkEnd w:id="153"/>
      <w:bookmarkStart w:id="154" w:name="_Toc247527575"/>
      <w:bookmarkEnd w:id="154"/>
      <w:bookmarkStart w:id="155" w:name="_Toc152045550"/>
      <w:bookmarkEnd w:id="155"/>
      <w:bookmarkStart w:id="156" w:name="_Toc369531538"/>
      <w:r>
        <w:rPr>
          <w:rFonts w:hint="eastAsia" w:ascii="黑体" w:hAnsi="黑体" w:eastAsia="黑体" w:cs="黑体"/>
          <w:sz w:val="24"/>
          <w:szCs w:val="24"/>
          <w:highlight w:val="none"/>
        </w:rPr>
        <w:t>方案的</w:t>
      </w:r>
      <w:bookmarkEnd w:id="156"/>
      <w:r>
        <w:rPr>
          <w:rFonts w:hint="eastAsia" w:ascii="黑体" w:hAnsi="黑体" w:eastAsia="黑体" w:cs="黑体"/>
          <w:sz w:val="24"/>
          <w:szCs w:val="24"/>
          <w:highlight w:val="none"/>
        </w:rPr>
        <w:t>，</w:t>
      </w:r>
      <w:r>
        <w:rPr>
          <w:rFonts w:hint="eastAsia" w:ascii="黑体" w:hAnsi="黑体" w:eastAsia="黑体" w:cs="黑体"/>
          <w:color w:val="000000"/>
          <w:sz w:val="24"/>
          <w:szCs w:val="24"/>
          <w:highlight w:val="none"/>
        </w:rPr>
        <w:t>视为提供备选方案。</w:t>
      </w:r>
    </w:p>
    <w:p w14:paraId="2796AB82">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57" w:name="_Toc492300379"/>
      <w:bookmarkEnd w:id="157"/>
      <w:bookmarkStart w:id="158" w:name="_Toc5657"/>
      <w:r>
        <w:rPr>
          <w:rFonts w:hint="eastAsia" w:ascii="黑体" w:hAnsi="黑体" w:eastAsia="黑体" w:cs="黑体"/>
          <w:b/>
          <w:bCs/>
          <w:sz w:val="24"/>
          <w:szCs w:val="24"/>
          <w:highlight w:val="none"/>
        </w:rPr>
        <w:t xml:space="preserve">3.7 </w:t>
      </w:r>
      <w:r>
        <w:rPr>
          <w:rFonts w:hint="eastAsia" w:ascii="黑体" w:hAnsi="黑体" w:eastAsia="黑体" w:cs="黑体"/>
          <w:b/>
          <w:bCs/>
          <w:sz w:val="24"/>
          <w:szCs w:val="24"/>
          <w:highlight w:val="none"/>
          <w:lang w:eastAsia="zh-CN"/>
        </w:rPr>
        <w:t>投标文件</w:t>
      </w:r>
      <w:r>
        <w:rPr>
          <w:rFonts w:hint="eastAsia" w:ascii="黑体" w:hAnsi="黑体" w:eastAsia="黑体" w:cs="黑体"/>
          <w:b/>
          <w:bCs/>
          <w:sz w:val="24"/>
          <w:szCs w:val="24"/>
          <w:highlight w:val="none"/>
        </w:rPr>
        <w:t>的编制</w:t>
      </w:r>
      <w:bookmarkEnd w:id="158"/>
    </w:p>
    <w:p w14:paraId="589519F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3.7.1 </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应按第六章“</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格式”进行编写，如有必要，可以增加附页，作为</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的组成部分。</w:t>
      </w:r>
      <w:r>
        <w:rPr>
          <w:rFonts w:hint="eastAsia" w:ascii="黑体" w:hAnsi="黑体" w:eastAsia="黑体" w:cs="黑体"/>
          <w:sz w:val="24"/>
          <w:szCs w:val="24"/>
          <w:highlight w:val="none"/>
        </w:rPr>
        <w:t>其中，</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函附录在满足</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实质性要求的基础上，可以提出比</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要求更有利于</w:t>
      </w:r>
      <w:r>
        <w:rPr>
          <w:rFonts w:hint="eastAsia" w:ascii="黑体" w:hAnsi="黑体" w:eastAsia="黑体" w:cs="黑体"/>
          <w:sz w:val="24"/>
          <w:szCs w:val="24"/>
          <w:highlight w:val="none"/>
          <w:lang w:eastAsia="zh-CN"/>
        </w:rPr>
        <w:t>采购人</w:t>
      </w:r>
      <w:r>
        <w:rPr>
          <w:rFonts w:hint="eastAsia" w:ascii="黑体" w:hAnsi="黑体" w:eastAsia="黑体" w:cs="黑体"/>
          <w:sz w:val="24"/>
          <w:szCs w:val="24"/>
          <w:highlight w:val="none"/>
        </w:rPr>
        <w:t>的承诺。</w:t>
      </w:r>
    </w:p>
    <w:p w14:paraId="66531CF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3.7.2 </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应当对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有关服务期限、投标有效期、发包人要求、</w:t>
      </w:r>
      <w:r>
        <w:rPr>
          <w:rFonts w:hint="eastAsia" w:ascii="黑体" w:hAnsi="黑体" w:eastAsia="黑体" w:cs="黑体"/>
          <w:color w:val="000000"/>
          <w:sz w:val="24"/>
          <w:szCs w:val="24"/>
          <w:highlight w:val="none"/>
          <w:lang w:eastAsia="zh-CN"/>
        </w:rPr>
        <w:t>采购范围</w:t>
      </w:r>
      <w:r>
        <w:rPr>
          <w:rFonts w:hint="eastAsia" w:ascii="黑体" w:hAnsi="黑体" w:eastAsia="黑体" w:cs="黑体"/>
          <w:color w:val="000000"/>
          <w:sz w:val="24"/>
          <w:szCs w:val="24"/>
          <w:highlight w:val="none"/>
        </w:rPr>
        <w:t>等实质性内容作出响应。</w:t>
      </w:r>
    </w:p>
    <w:p w14:paraId="2630AC0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3.7.3（1）</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应用不褪色的材料书写或打印，投标函、投标函附录及对</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的澄清、说明和补正应由</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的法定代表人或其授权的代理人签字</w:t>
      </w:r>
      <w:r>
        <w:rPr>
          <w:rFonts w:hint="eastAsia" w:ascii="黑体" w:hAnsi="黑体" w:eastAsia="黑体" w:cs="黑体"/>
          <w:sz w:val="24"/>
          <w:szCs w:val="24"/>
          <w:highlight w:val="none"/>
        </w:rPr>
        <w:t>或盖单位章。</w:t>
      </w:r>
      <w:r>
        <w:rPr>
          <w:rFonts w:hint="eastAsia" w:ascii="黑体" w:hAnsi="黑体" w:eastAsia="黑体" w:cs="黑体"/>
          <w:color w:val="000000"/>
          <w:sz w:val="24"/>
          <w:szCs w:val="24"/>
          <w:highlight w:val="none"/>
        </w:rPr>
        <w:t>由</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的法定代表人签字的，应附法定代表人身份证明，由代理人签字的，应附授权委托书，身份证明或授权委托书应符合第六章“</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格式”的要求。</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应尽量避免涂改、行间插字或删除。如果出现上述情况，改动之处应由</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的法定代表人或其授权的代理人签字或盖单位章</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lang w:val="en-US" w:eastAsia="zh-CN"/>
        </w:rPr>
        <w:t>仅限中标候选人</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rPr>
        <w:t>。</w:t>
      </w:r>
    </w:p>
    <w:p w14:paraId="2380289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正本一份，副本份数见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须知前附表。正本和副本的封面</w:t>
      </w:r>
      <w:r>
        <w:rPr>
          <w:rStyle w:val="230"/>
          <w:rFonts w:hint="eastAsia" w:ascii="黑体" w:hAnsi="黑体" w:eastAsia="黑体" w:cs="黑体"/>
          <w:color w:val="000000"/>
          <w:kern w:val="0"/>
          <w:sz w:val="24"/>
          <w:szCs w:val="24"/>
          <w:highlight w:val="none"/>
        </w:rPr>
        <w:t>右上角</w:t>
      </w:r>
      <w:r>
        <w:rPr>
          <w:rFonts w:hint="eastAsia" w:ascii="黑体" w:hAnsi="黑体" w:eastAsia="黑体" w:cs="黑体"/>
          <w:color w:val="000000"/>
          <w:sz w:val="24"/>
          <w:szCs w:val="24"/>
          <w:highlight w:val="none"/>
        </w:rPr>
        <w:t>上应清楚地标记“正本”或“副本”的字样</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rPr>
        <w:t>当副本和正本不一致时，以纸质正本文件为准</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lang w:val="en-US" w:eastAsia="zh-CN"/>
        </w:rPr>
        <w:t>仅限中标候选人</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rPr>
        <w:t>。</w:t>
      </w:r>
    </w:p>
    <w:p w14:paraId="0CF1E5F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的正本与副本应分别装订，并编制目录，</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需分册装订的，具体分册装订要求见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lang w:val="en-US" w:eastAsia="zh-CN"/>
        </w:rPr>
        <w:t>仅限中标候选人</w:t>
      </w:r>
      <w:r>
        <w:rPr>
          <w:rFonts w:hint="eastAsia" w:ascii="黑体" w:hAnsi="黑体" w:eastAsia="黑体" w:cs="黑体"/>
          <w:color w:val="000000"/>
          <w:sz w:val="24"/>
          <w:szCs w:val="24"/>
          <w:highlight w:val="none"/>
          <w:lang w:eastAsia="zh-CN"/>
        </w:rPr>
        <w:t>）</w:t>
      </w:r>
      <w:r>
        <w:rPr>
          <w:rFonts w:hint="eastAsia" w:ascii="黑体" w:hAnsi="黑体" w:eastAsia="黑体" w:cs="黑体"/>
          <w:color w:val="000000"/>
          <w:sz w:val="24"/>
          <w:szCs w:val="24"/>
          <w:highlight w:val="none"/>
        </w:rPr>
        <w:t>。</w:t>
      </w:r>
    </w:p>
    <w:p w14:paraId="092ADDBF">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rPr>
      </w:pPr>
      <w:bookmarkStart w:id="159" w:name="_Toc492300380"/>
      <w:bookmarkEnd w:id="159"/>
      <w:bookmarkStart w:id="160" w:name="_Toc3591"/>
      <w:r>
        <w:rPr>
          <w:rFonts w:hint="eastAsia" w:ascii="黑体" w:hAnsi="黑体" w:eastAsia="黑体" w:cs="黑体"/>
          <w:b/>
          <w:bCs/>
          <w:color w:val="000000"/>
          <w:sz w:val="24"/>
          <w:szCs w:val="24"/>
          <w:highlight w:val="none"/>
        </w:rPr>
        <w:t>4. 投标</w:t>
      </w:r>
      <w:bookmarkEnd w:id="160"/>
    </w:p>
    <w:p w14:paraId="3FDF01EC">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61" w:name="_Toc492300381"/>
      <w:bookmarkEnd w:id="161"/>
      <w:bookmarkStart w:id="162" w:name="_Toc10641"/>
      <w:r>
        <w:rPr>
          <w:rFonts w:hint="eastAsia" w:ascii="黑体" w:hAnsi="黑体" w:eastAsia="黑体" w:cs="黑体"/>
          <w:b/>
          <w:bCs/>
          <w:sz w:val="24"/>
          <w:szCs w:val="24"/>
          <w:highlight w:val="none"/>
        </w:rPr>
        <w:t xml:space="preserve">4.1 </w:t>
      </w:r>
      <w:r>
        <w:rPr>
          <w:rFonts w:hint="eastAsia" w:ascii="黑体" w:hAnsi="黑体" w:eastAsia="黑体" w:cs="黑体"/>
          <w:b/>
          <w:bCs/>
          <w:sz w:val="24"/>
          <w:szCs w:val="24"/>
          <w:highlight w:val="none"/>
          <w:lang w:eastAsia="zh-CN"/>
        </w:rPr>
        <w:t>投标文件</w:t>
      </w:r>
      <w:r>
        <w:rPr>
          <w:rFonts w:hint="eastAsia" w:ascii="黑体" w:hAnsi="黑体" w:eastAsia="黑体" w:cs="黑体"/>
          <w:b/>
          <w:bCs/>
          <w:sz w:val="24"/>
          <w:szCs w:val="24"/>
          <w:highlight w:val="none"/>
        </w:rPr>
        <w:t>的密封和标记</w:t>
      </w:r>
      <w:bookmarkEnd w:id="162"/>
    </w:p>
    <w:p w14:paraId="3D636F1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4.1.1 </w:t>
      </w:r>
      <w:r>
        <w:rPr>
          <w:rFonts w:hint="eastAsia" w:ascii="黑体" w:hAnsi="黑体" w:eastAsia="黑体" w:cs="黑体"/>
          <w:color w:val="000000"/>
          <w:sz w:val="24"/>
          <w:szCs w:val="24"/>
          <w:highlight w:val="none"/>
          <w:lang w:val="en-US" w:eastAsia="zh-CN"/>
        </w:rPr>
        <w:t>已装订好的投标文件需按规定密封。</w:t>
      </w:r>
    </w:p>
    <w:p w14:paraId="34684DC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4.1.2 </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封套上应写明的内容见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p>
    <w:p w14:paraId="1C5C7442">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4.1.3 </w:t>
      </w:r>
      <w:r>
        <w:rPr>
          <w:rFonts w:hint="eastAsia" w:ascii="黑体" w:hAnsi="黑体" w:eastAsia="黑体" w:cs="黑体"/>
          <w:color w:val="000000"/>
          <w:sz w:val="24"/>
          <w:szCs w:val="24"/>
          <w:highlight w:val="none"/>
          <w:lang w:val="en-US" w:eastAsia="zh-CN"/>
        </w:rPr>
        <w:t>不符合</w:t>
      </w:r>
      <w:r>
        <w:rPr>
          <w:rFonts w:hint="eastAsia" w:ascii="黑体" w:hAnsi="黑体" w:eastAsia="黑体" w:cs="黑体"/>
          <w:color w:val="000000"/>
          <w:sz w:val="24"/>
          <w:szCs w:val="24"/>
          <w:highlight w:val="none"/>
        </w:rPr>
        <w:t>本章第4.1.1项或第4.1.2项要求</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不予受理。</w:t>
      </w:r>
    </w:p>
    <w:p w14:paraId="58413578">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63" w:name="_Toc492300382"/>
      <w:bookmarkEnd w:id="163"/>
      <w:bookmarkStart w:id="164" w:name="_Toc24805"/>
      <w:r>
        <w:rPr>
          <w:rFonts w:hint="eastAsia" w:ascii="黑体" w:hAnsi="黑体" w:eastAsia="黑体" w:cs="黑体"/>
          <w:b/>
          <w:bCs/>
          <w:sz w:val="24"/>
          <w:szCs w:val="24"/>
          <w:highlight w:val="none"/>
        </w:rPr>
        <w:t xml:space="preserve">4.2 </w:t>
      </w:r>
      <w:r>
        <w:rPr>
          <w:rFonts w:hint="eastAsia" w:ascii="黑体" w:hAnsi="黑体" w:eastAsia="黑体" w:cs="黑体"/>
          <w:b/>
          <w:bCs/>
          <w:sz w:val="24"/>
          <w:szCs w:val="24"/>
          <w:highlight w:val="none"/>
          <w:lang w:eastAsia="zh-CN"/>
        </w:rPr>
        <w:t>投标文件</w:t>
      </w:r>
      <w:r>
        <w:rPr>
          <w:rFonts w:hint="eastAsia" w:ascii="黑体" w:hAnsi="黑体" w:eastAsia="黑体" w:cs="黑体"/>
          <w:b/>
          <w:bCs/>
          <w:sz w:val="24"/>
          <w:szCs w:val="24"/>
          <w:highlight w:val="none"/>
        </w:rPr>
        <w:t>的递交</w:t>
      </w:r>
      <w:bookmarkEnd w:id="164"/>
    </w:p>
    <w:p w14:paraId="131B9A3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4.2.1 </w:t>
      </w:r>
      <w:r>
        <w:rPr>
          <w:rFonts w:hint="eastAsia" w:ascii="黑体" w:hAnsi="黑体" w:eastAsia="黑体" w:cs="黑体"/>
          <w:color w:val="000000"/>
          <w:sz w:val="24"/>
          <w:szCs w:val="24"/>
          <w:highlight w:val="none"/>
          <w:lang w:val="en-US" w:eastAsia="zh-CN"/>
        </w:rPr>
        <w:t>供应商</w:t>
      </w:r>
      <w:r>
        <w:rPr>
          <w:rFonts w:hint="eastAsia" w:ascii="黑体" w:hAnsi="黑体" w:eastAsia="黑体" w:cs="黑体"/>
          <w:color w:val="000000"/>
          <w:sz w:val="24"/>
          <w:szCs w:val="24"/>
          <w:highlight w:val="none"/>
        </w:rPr>
        <w:t>应在第2.2.2项规定的</w:t>
      </w:r>
      <w:r>
        <w:rPr>
          <w:rFonts w:hint="eastAsia" w:ascii="黑体" w:hAnsi="黑体" w:eastAsia="黑体" w:cs="黑体"/>
          <w:color w:val="000000"/>
          <w:sz w:val="24"/>
          <w:szCs w:val="24"/>
          <w:highlight w:val="none"/>
          <w:lang w:eastAsia="zh-CN"/>
        </w:rPr>
        <w:t>投标截止</w:t>
      </w:r>
      <w:r>
        <w:rPr>
          <w:rFonts w:hint="eastAsia" w:ascii="黑体" w:hAnsi="黑体" w:eastAsia="黑体" w:cs="黑体"/>
          <w:color w:val="000000"/>
          <w:sz w:val="24"/>
          <w:szCs w:val="24"/>
          <w:highlight w:val="none"/>
        </w:rPr>
        <w:t>时间前</w:t>
      </w:r>
      <w:r>
        <w:rPr>
          <w:rFonts w:hint="eastAsia" w:ascii="黑体" w:hAnsi="黑体" w:eastAsia="黑体" w:cs="黑体"/>
          <w:color w:val="000000"/>
          <w:sz w:val="24"/>
          <w:szCs w:val="24"/>
          <w:highlight w:val="none"/>
          <w:lang w:val="en-US" w:eastAsia="zh-CN"/>
        </w:rPr>
        <w:t>上传投标</w:t>
      </w:r>
      <w:r>
        <w:rPr>
          <w:rFonts w:hint="eastAsia" w:ascii="黑体" w:hAnsi="黑体" w:eastAsia="黑体" w:cs="黑体"/>
          <w:color w:val="000000"/>
          <w:sz w:val="24"/>
          <w:szCs w:val="24"/>
          <w:highlight w:val="none"/>
        </w:rPr>
        <w:t>文件。</w:t>
      </w:r>
    </w:p>
    <w:p w14:paraId="0939E6B8">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4.2.2 </w:t>
      </w:r>
      <w:r>
        <w:rPr>
          <w:rFonts w:hint="eastAsia" w:ascii="黑体" w:hAnsi="黑体" w:eastAsia="黑体" w:cs="黑体"/>
          <w:color w:val="000000"/>
          <w:sz w:val="24"/>
          <w:szCs w:val="24"/>
          <w:highlight w:val="none"/>
          <w:lang w:val="en-US" w:eastAsia="zh-CN"/>
        </w:rPr>
        <w:t>供应商</w:t>
      </w:r>
      <w:r>
        <w:rPr>
          <w:rFonts w:hint="eastAsia" w:ascii="黑体" w:hAnsi="黑体" w:eastAsia="黑体" w:cs="黑体"/>
          <w:color w:val="000000"/>
          <w:sz w:val="24"/>
          <w:szCs w:val="24"/>
          <w:highlight w:val="none"/>
        </w:rPr>
        <w:t>递交</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的地点：见</w:t>
      </w:r>
      <w:r>
        <w:rPr>
          <w:rFonts w:hint="eastAsia" w:ascii="黑体" w:hAnsi="黑体" w:eastAsia="黑体" w:cs="黑体"/>
          <w:color w:val="000000"/>
          <w:sz w:val="24"/>
          <w:szCs w:val="24"/>
          <w:highlight w:val="none"/>
          <w:lang w:val="en-US" w:eastAsia="zh-CN"/>
        </w:rPr>
        <w:t>供应商</w:t>
      </w:r>
      <w:r>
        <w:rPr>
          <w:rFonts w:hint="eastAsia" w:ascii="黑体" w:hAnsi="黑体" w:eastAsia="黑体" w:cs="黑体"/>
          <w:color w:val="000000"/>
          <w:sz w:val="24"/>
          <w:szCs w:val="24"/>
          <w:highlight w:val="none"/>
        </w:rPr>
        <w:t>须知前附表。</w:t>
      </w:r>
    </w:p>
    <w:p w14:paraId="1EA4B184">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4.2.3 除</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须知前附表另有规定外，</w:t>
      </w:r>
      <w:r>
        <w:rPr>
          <w:rFonts w:hint="eastAsia" w:ascii="黑体" w:hAnsi="黑体" w:eastAsia="黑体" w:cs="黑体"/>
          <w:color w:val="000000"/>
          <w:sz w:val="24"/>
          <w:szCs w:val="24"/>
          <w:highlight w:val="none"/>
          <w:lang w:val="en-US" w:eastAsia="zh-CN"/>
        </w:rPr>
        <w:t>供应商</w:t>
      </w:r>
      <w:r>
        <w:rPr>
          <w:rFonts w:hint="eastAsia" w:ascii="黑体" w:hAnsi="黑体" w:eastAsia="黑体" w:cs="黑体"/>
          <w:color w:val="000000"/>
          <w:sz w:val="24"/>
          <w:szCs w:val="24"/>
          <w:highlight w:val="none"/>
        </w:rPr>
        <w:t>所递交的</w:t>
      </w:r>
      <w:r>
        <w:rPr>
          <w:rFonts w:hint="eastAsia" w:ascii="黑体" w:hAnsi="黑体" w:eastAsia="黑体" w:cs="黑体"/>
          <w:color w:val="000000"/>
          <w:sz w:val="24"/>
          <w:szCs w:val="24"/>
          <w:highlight w:val="none"/>
          <w:lang w:val="en-US" w:eastAsia="zh-CN"/>
        </w:rPr>
        <w:t>投标</w:t>
      </w:r>
      <w:r>
        <w:rPr>
          <w:rFonts w:hint="eastAsia" w:ascii="黑体" w:hAnsi="黑体" w:eastAsia="黑体" w:cs="黑体"/>
          <w:color w:val="000000"/>
          <w:sz w:val="24"/>
          <w:szCs w:val="24"/>
          <w:highlight w:val="none"/>
        </w:rPr>
        <w:t>文件不予退还。</w:t>
      </w:r>
    </w:p>
    <w:p w14:paraId="1E5259D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4.2.4 逾期</w:t>
      </w:r>
      <w:r>
        <w:rPr>
          <w:rFonts w:hint="eastAsia" w:ascii="黑体" w:hAnsi="黑体" w:eastAsia="黑体" w:cs="黑体"/>
          <w:color w:val="000000"/>
          <w:sz w:val="24"/>
          <w:szCs w:val="24"/>
          <w:highlight w:val="none"/>
          <w:lang w:val="en-US" w:eastAsia="zh-CN"/>
        </w:rPr>
        <w:t>上传投标</w:t>
      </w:r>
      <w:r>
        <w:rPr>
          <w:rFonts w:hint="eastAsia" w:ascii="黑体" w:hAnsi="黑体" w:eastAsia="黑体" w:cs="黑体"/>
          <w:color w:val="000000"/>
          <w:sz w:val="24"/>
          <w:szCs w:val="24"/>
          <w:highlight w:val="none"/>
        </w:rPr>
        <w:t>文件，</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不予受理。</w:t>
      </w:r>
    </w:p>
    <w:p w14:paraId="45B954C4">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rPr>
      </w:pPr>
      <w:bookmarkStart w:id="165" w:name="_Toc492300384"/>
      <w:bookmarkEnd w:id="165"/>
      <w:bookmarkStart w:id="166" w:name="_Toc492300383"/>
      <w:bookmarkEnd w:id="166"/>
      <w:bookmarkStart w:id="167" w:name="_Toc8511"/>
      <w:r>
        <w:rPr>
          <w:rFonts w:hint="eastAsia" w:ascii="黑体" w:hAnsi="黑体" w:eastAsia="黑体" w:cs="黑体"/>
          <w:b/>
          <w:bCs/>
          <w:color w:val="000000"/>
          <w:sz w:val="24"/>
          <w:szCs w:val="24"/>
          <w:highlight w:val="none"/>
        </w:rPr>
        <w:t>5. 开标</w:t>
      </w:r>
      <w:bookmarkEnd w:id="167"/>
    </w:p>
    <w:p w14:paraId="7C944708">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68" w:name="_Toc492300385"/>
      <w:bookmarkEnd w:id="168"/>
      <w:bookmarkStart w:id="169" w:name="_Toc24735"/>
      <w:r>
        <w:rPr>
          <w:rFonts w:hint="eastAsia" w:ascii="黑体" w:hAnsi="黑体" w:eastAsia="黑体" w:cs="黑体"/>
          <w:b/>
          <w:bCs/>
          <w:sz w:val="24"/>
          <w:szCs w:val="24"/>
          <w:highlight w:val="none"/>
        </w:rPr>
        <w:t>5.1 开标时间和地点</w:t>
      </w:r>
      <w:bookmarkEnd w:id="169"/>
    </w:p>
    <w:p w14:paraId="4AC7AB1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在本章第4.2.1项规定的</w:t>
      </w:r>
      <w:r>
        <w:rPr>
          <w:rFonts w:hint="eastAsia" w:ascii="黑体" w:hAnsi="黑体" w:eastAsia="黑体" w:cs="黑体"/>
          <w:color w:val="000000"/>
          <w:sz w:val="24"/>
          <w:szCs w:val="24"/>
          <w:highlight w:val="none"/>
          <w:lang w:val="en-US" w:eastAsia="zh-CN"/>
        </w:rPr>
        <w:t>投标</w:t>
      </w:r>
      <w:r>
        <w:rPr>
          <w:rFonts w:hint="eastAsia" w:ascii="黑体" w:hAnsi="黑体" w:eastAsia="黑体" w:cs="黑体"/>
          <w:color w:val="000000"/>
          <w:sz w:val="24"/>
          <w:szCs w:val="24"/>
          <w:highlight w:val="none"/>
        </w:rPr>
        <w:t>截止时间（开标时间）和</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须知前附表规定的地点公开开标，并邀请所有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的法定代表人或其委托代理人准时参加。</w:t>
      </w:r>
      <w:bookmarkStart w:id="170" w:name="_Toc492300387"/>
      <w:bookmarkEnd w:id="170"/>
    </w:p>
    <w:p w14:paraId="1B973B0F">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5.2 开标程序</w:t>
      </w:r>
      <w:bookmarkStart w:id="171" w:name="_Toc492300388"/>
      <w:bookmarkEnd w:id="171"/>
    </w:p>
    <w:p w14:paraId="72C3400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val="en-US" w:eastAsia="zh-CN"/>
        </w:rPr>
        <w:t>5.2.1</w:t>
      </w:r>
      <w:r>
        <w:rPr>
          <w:rFonts w:hint="eastAsia" w:ascii="黑体" w:hAnsi="黑体" w:eastAsia="黑体" w:cs="黑体"/>
          <w:b w:val="0"/>
          <w:bCs w:val="0"/>
          <w:color w:val="000000"/>
          <w:sz w:val="24"/>
          <w:szCs w:val="24"/>
          <w:highlight w:val="none"/>
        </w:rPr>
        <w:t>开标准备工作</w:t>
      </w:r>
    </w:p>
    <w:p w14:paraId="175CC808">
      <w:pPr>
        <w:pageBreakBefore w:val="0"/>
        <w:numPr>
          <w:ilvl w:val="0"/>
          <w:numId w:val="0"/>
        </w:numPr>
        <w:kinsoku/>
        <w:wordWrap/>
        <w:overflowPunct/>
        <w:topLinePunct w:val="0"/>
        <w:autoSpaceDE/>
        <w:autoSpaceDN/>
        <w:bidi w:val="0"/>
        <w:spacing w:line="360" w:lineRule="auto"/>
        <w:ind w:firstLine="480" w:firstLineChars="200"/>
        <w:jc w:val="left"/>
        <w:textAlignment w:val="auto"/>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val="en-US" w:eastAsia="zh-CN"/>
        </w:rPr>
        <w:t>5.2.2</w:t>
      </w:r>
      <w:r>
        <w:rPr>
          <w:rFonts w:hint="eastAsia" w:ascii="黑体" w:hAnsi="黑体" w:eastAsia="黑体" w:cs="黑体"/>
          <w:b w:val="0"/>
          <w:bCs w:val="0"/>
          <w:color w:val="000000"/>
          <w:sz w:val="24"/>
          <w:szCs w:val="24"/>
          <w:highlight w:val="none"/>
        </w:rPr>
        <w:t>开标程序</w:t>
      </w:r>
    </w:p>
    <w:p w14:paraId="3DE5312E">
      <w:pPr>
        <w:pageBreakBefore w:val="0"/>
        <w:numPr>
          <w:ilvl w:val="0"/>
          <w:numId w:val="0"/>
        </w:numPr>
        <w:kinsoku/>
        <w:wordWrap/>
        <w:overflowPunct/>
        <w:topLinePunct w:val="0"/>
        <w:autoSpaceDE/>
        <w:autoSpaceDN/>
        <w:bidi w:val="0"/>
        <w:spacing w:line="360" w:lineRule="auto"/>
        <w:ind w:firstLine="480" w:firstLineChars="200"/>
        <w:jc w:val="left"/>
        <w:textAlignment w:val="auto"/>
        <w:rPr>
          <w:rFonts w:hint="eastAsia" w:ascii="黑体" w:hAnsi="黑体" w:eastAsia="黑体" w:cs="黑体"/>
          <w:b w:val="0"/>
          <w:bCs w:val="0"/>
          <w:color w:val="000000"/>
          <w:sz w:val="24"/>
          <w:szCs w:val="24"/>
          <w:highlight w:val="none"/>
          <w:lang w:val="en-US" w:eastAsia="zh-CN"/>
        </w:rPr>
      </w:pPr>
      <w:bookmarkStart w:id="172" w:name="_Toc492300389"/>
      <w:bookmarkEnd w:id="172"/>
      <w:bookmarkStart w:id="173" w:name="_Toc18151"/>
      <w:r>
        <w:rPr>
          <w:rFonts w:hint="eastAsia" w:ascii="黑体" w:hAnsi="黑体" w:eastAsia="黑体" w:cs="黑体"/>
          <w:b w:val="0"/>
          <w:bCs w:val="0"/>
          <w:color w:val="000000"/>
          <w:sz w:val="24"/>
          <w:szCs w:val="24"/>
          <w:highlight w:val="none"/>
          <w:lang w:val="en-US" w:eastAsia="zh-CN"/>
        </w:rPr>
        <w:t>（1）宣读采购人、监督人；</w:t>
      </w:r>
    </w:p>
    <w:p w14:paraId="24915509">
      <w:pPr>
        <w:pageBreakBefore w:val="0"/>
        <w:numPr>
          <w:ilvl w:val="0"/>
          <w:numId w:val="0"/>
        </w:numPr>
        <w:kinsoku/>
        <w:wordWrap/>
        <w:overflowPunct/>
        <w:topLinePunct w:val="0"/>
        <w:autoSpaceDE/>
        <w:autoSpaceDN/>
        <w:bidi w:val="0"/>
        <w:spacing w:line="360" w:lineRule="auto"/>
        <w:ind w:firstLine="480" w:firstLineChars="200"/>
        <w:jc w:val="left"/>
        <w:textAlignment w:val="auto"/>
        <w:rPr>
          <w:rFonts w:hint="eastAsia" w:ascii="黑体" w:hAnsi="黑体" w:eastAsia="黑体" w:cs="黑体"/>
          <w:b w:val="0"/>
          <w:bCs w:val="0"/>
          <w:color w:val="000000"/>
          <w:sz w:val="24"/>
          <w:szCs w:val="24"/>
          <w:highlight w:val="none"/>
          <w:lang w:val="en-US" w:eastAsia="zh-CN"/>
        </w:rPr>
      </w:pPr>
      <w:r>
        <w:rPr>
          <w:rFonts w:hint="eastAsia" w:ascii="黑体" w:hAnsi="黑体" w:eastAsia="黑体" w:cs="黑体"/>
          <w:b w:val="0"/>
          <w:bCs w:val="0"/>
          <w:color w:val="000000"/>
          <w:sz w:val="24"/>
          <w:szCs w:val="24"/>
          <w:highlight w:val="none"/>
          <w:lang w:val="en-US" w:eastAsia="zh-CN"/>
        </w:rPr>
        <w:t>（2）宣布主持人、唱标人、开标人、记录人；</w:t>
      </w:r>
    </w:p>
    <w:p w14:paraId="5A9909BE">
      <w:pPr>
        <w:pageBreakBefore w:val="0"/>
        <w:numPr>
          <w:ilvl w:val="0"/>
          <w:numId w:val="0"/>
        </w:numPr>
        <w:kinsoku/>
        <w:wordWrap/>
        <w:overflowPunct/>
        <w:topLinePunct w:val="0"/>
        <w:autoSpaceDE/>
        <w:autoSpaceDN/>
        <w:bidi w:val="0"/>
        <w:spacing w:line="360" w:lineRule="auto"/>
        <w:ind w:firstLine="480" w:firstLineChars="200"/>
        <w:jc w:val="left"/>
        <w:textAlignment w:val="auto"/>
        <w:rPr>
          <w:rFonts w:hint="eastAsia" w:ascii="黑体" w:hAnsi="黑体" w:eastAsia="黑体" w:cs="黑体"/>
          <w:b w:val="0"/>
          <w:bCs w:val="0"/>
          <w:color w:val="000000"/>
          <w:sz w:val="24"/>
          <w:szCs w:val="24"/>
          <w:highlight w:val="none"/>
          <w:lang w:val="en-US" w:eastAsia="zh-CN"/>
        </w:rPr>
      </w:pPr>
      <w:r>
        <w:rPr>
          <w:rFonts w:hint="eastAsia" w:ascii="黑体" w:hAnsi="黑体" w:eastAsia="黑体" w:cs="黑体"/>
          <w:b w:val="0"/>
          <w:bCs w:val="0"/>
          <w:color w:val="000000"/>
          <w:sz w:val="24"/>
          <w:szCs w:val="24"/>
          <w:highlight w:val="none"/>
          <w:lang w:val="en-US" w:eastAsia="zh-CN"/>
        </w:rPr>
        <w:t>（3）公布供应商名称、响应文件递交时间、投标报价、交货及安装周期要求、质量标准及其他内容，并记录在案；</w:t>
      </w:r>
    </w:p>
    <w:p w14:paraId="0C022DD3">
      <w:pPr>
        <w:pageBreakBefore w:val="0"/>
        <w:numPr>
          <w:ilvl w:val="0"/>
          <w:numId w:val="0"/>
        </w:numPr>
        <w:kinsoku/>
        <w:wordWrap/>
        <w:overflowPunct/>
        <w:topLinePunct w:val="0"/>
        <w:autoSpaceDE/>
        <w:autoSpaceDN/>
        <w:bidi w:val="0"/>
        <w:spacing w:line="360" w:lineRule="auto"/>
        <w:ind w:firstLine="480" w:firstLineChars="200"/>
        <w:jc w:val="left"/>
        <w:textAlignment w:val="auto"/>
        <w:rPr>
          <w:rFonts w:hint="eastAsia" w:ascii="黑体" w:hAnsi="黑体" w:eastAsia="黑体" w:cs="黑体"/>
          <w:b w:val="0"/>
          <w:bCs w:val="0"/>
          <w:color w:val="000000"/>
          <w:sz w:val="24"/>
          <w:szCs w:val="24"/>
          <w:highlight w:val="none"/>
          <w:lang w:val="en-US" w:eastAsia="zh-CN"/>
        </w:rPr>
      </w:pPr>
      <w:r>
        <w:rPr>
          <w:rFonts w:hint="eastAsia" w:ascii="黑体" w:hAnsi="黑体" w:eastAsia="黑体" w:cs="黑体"/>
          <w:b w:val="0"/>
          <w:bCs w:val="0"/>
          <w:color w:val="000000"/>
          <w:sz w:val="24"/>
          <w:szCs w:val="24"/>
          <w:highlight w:val="none"/>
          <w:lang w:val="en-US" w:eastAsia="zh-CN"/>
        </w:rPr>
        <w:t>（4）对响应文件进行评标和宣布评标结果；</w:t>
      </w:r>
    </w:p>
    <w:p w14:paraId="3FDA56BB">
      <w:pPr>
        <w:pStyle w:val="4"/>
        <w:pageBreakBefore w:val="0"/>
        <w:numPr>
          <w:ilvl w:val="0"/>
          <w:numId w:val="0"/>
        </w:numPr>
        <w:kinsoku/>
        <w:wordWrap/>
        <w:overflowPunct/>
        <w:topLinePunct w:val="0"/>
        <w:autoSpaceDE/>
        <w:autoSpaceDN/>
        <w:bidi w:val="0"/>
        <w:spacing w:line="240" w:lineRule="auto"/>
        <w:ind w:left="0" w:firstLine="480" w:firstLineChars="200"/>
        <w:jc w:val="left"/>
        <w:textAlignment w:val="auto"/>
        <w:rPr>
          <w:rFonts w:hint="eastAsia" w:ascii="黑体" w:hAnsi="黑体" w:eastAsia="黑体" w:cs="黑体"/>
          <w:b w:val="0"/>
          <w:bCs w:val="0"/>
          <w:color w:val="000000"/>
          <w:kern w:val="2"/>
          <w:sz w:val="24"/>
          <w:szCs w:val="24"/>
          <w:highlight w:val="none"/>
          <w:lang w:val="en-US" w:eastAsia="zh-CN" w:bidi="ar-SA"/>
        </w:rPr>
      </w:pPr>
      <w:r>
        <w:rPr>
          <w:rFonts w:hint="eastAsia" w:ascii="黑体" w:hAnsi="黑体" w:eastAsia="黑体" w:cs="黑体"/>
          <w:b w:val="0"/>
          <w:bCs w:val="0"/>
          <w:color w:val="000000"/>
          <w:kern w:val="2"/>
          <w:sz w:val="24"/>
          <w:szCs w:val="24"/>
          <w:highlight w:val="none"/>
          <w:lang w:val="en-US" w:eastAsia="zh-CN" w:bidi="ar-SA"/>
        </w:rPr>
        <w:t>（5）开标、评标会结束。</w:t>
      </w:r>
    </w:p>
    <w:p w14:paraId="1DCDFCCA">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rPr>
      </w:pPr>
      <w:r>
        <w:rPr>
          <w:rFonts w:hint="eastAsia" w:ascii="黑体" w:hAnsi="黑体" w:eastAsia="黑体" w:cs="黑体"/>
          <w:b/>
          <w:bCs/>
          <w:color w:val="000000"/>
          <w:sz w:val="24"/>
          <w:szCs w:val="24"/>
          <w:highlight w:val="none"/>
        </w:rPr>
        <w:t>6. 评标</w:t>
      </w:r>
      <w:bookmarkEnd w:id="173"/>
    </w:p>
    <w:p w14:paraId="36C79F53">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74" w:name="_Toc492300390"/>
      <w:bookmarkEnd w:id="174"/>
      <w:bookmarkStart w:id="175" w:name="_Toc30153"/>
      <w:r>
        <w:rPr>
          <w:rFonts w:hint="eastAsia" w:ascii="黑体" w:hAnsi="黑体" w:eastAsia="黑体" w:cs="黑体"/>
          <w:b/>
          <w:bCs/>
          <w:sz w:val="24"/>
          <w:szCs w:val="24"/>
          <w:highlight w:val="none"/>
        </w:rPr>
        <w:t>6.1 评标委员会</w:t>
      </w:r>
      <w:bookmarkEnd w:id="175"/>
    </w:p>
    <w:p w14:paraId="6FFF8AD7">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6.1.1 评标由</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依法组建的评标委员会负责。评标委员会由</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或其委托的</w:t>
      </w:r>
      <w:r>
        <w:rPr>
          <w:rFonts w:hint="eastAsia" w:ascii="黑体" w:hAnsi="黑体" w:eastAsia="黑体" w:cs="黑体"/>
          <w:color w:val="000000"/>
          <w:sz w:val="24"/>
          <w:szCs w:val="24"/>
          <w:highlight w:val="none"/>
          <w:lang w:eastAsia="zh-CN"/>
        </w:rPr>
        <w:t>采购代理机构</w:t>
      </w:r>
      <w:r>
        <w:rPr>
          <w:rFonts w:hint="eastAsia" w:ascii="黑体" w:hAnsi="黑体" w:eastAsia="黑体" w:cs="黑体"/>
          <w:color w:val="000000"/>
          <w:sz w:val="24"/>
          <w:szCs w:val="24"/>
          <w:highlight w:val="none"/>
        </w:rPr>
        <w:t>熟悉相关业务的代表，以及有关技术、经济等方面的专家组成。评标委员会成员人数以及技术、经济等方面专家的确定方式见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p>
    <w:p w14:paraId="4782604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6.1.2 评标委员会成员有下列情形之一的，应当回避：</w:t>
      </w:r>
    </w:p>
    <w:p w14:paraId="34D8E807">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（1）</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或</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主要负责人的近亲属；</w:t>
      </w:r>
    </w:p>
    <w:p w14:paraId="7CEDEA8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（2）项目主管部门或者行政监督部门的人员；</w:t>
      </w:r>
    </w:p>
    <w:p w14:paraId="43052229">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（3）与</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有经济利益关系，可能影响对投标公正评审的；</w:t>
      </w:r>
    </w:p>
    <w:p w14:paraId="1A663C6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（4）曾因在招标、评</w:t>
      </w:r>
      <w:bookmarkStart w:id="176" w:name="_Toc384308237"/>
      <w:bookmarkEnd w:id="176"/>
      <w:bookmarkStart w:id="177" w:name="_Toc247513979"/>
      <w:bookmarkEnd w:id="177"/>
      <w:bookmarkStart w:id="178" w:name="_Toc361508612"/>
      <w:bookmarkEnd w:id="178"/>
      <w:bookmarkStart w:id="179" w:name="_Toc144974523"/>
      <w:bookmarkEnd w:id="179"/>
      <w:bookmarkStart w:id="180" w:name="_Toc152045555"/>
      <w:bookmarkEnd w:id="180"/>
      <w:bookmarkStart w:id="181" w:name="_Toc352691499"/>
      <w:bookmarkEnd w:id="181"/>
      <w:bookmarkStart w:id="182" w:name="_Toc369531543"/>
      <w:bookmarkEnd w:id="182"/>
      <w:bookmarkStart w:id="183" w:name="_Toc152042331"/>
      <w:bookmarkEnd w:id="183"/>
      <w:bookmarkStart w:id="184" w:name="_Toc247527580"/>
      <w:bookmarkEnd w:id="184"/>
      <w:bookmarkStart w:id="185" w:name="_Toc6230"/>
      <w:bookmarkEnd w:id="185"/>
      <w:bookmarkStart w:id="186" w:name="_Toc300834976"/>
      <w:r>
        <w:rPr>
          <w:rFonts w:hint="eastAsia" w:ascii="黑体" w:hAnsi="黑体" w:eastAsia="黑体" w:cs="黑体"/>
          <w:color w:val="000000"/>
          <w:sz w:val="24"/>
          <w:szCs w:val="24"/>
          <w:highlight w:val="none"/>
        </w:rPr>
        <w:t>标以及其他</w:t>
      </w:r>
      <w:bookmarkEnd w:id="186"/>
      <w:r>
        <w:rPr>
          <w:rFonts w:hint="eastAsia" w:ascii="黑体" w:hAnsi="黑体" w:eastAsia="黑体" w:cs="黑体"/>
          <w:color w:val="000000"/>
          <w:sz w:val="24"/>
          <w:szCs w:val="24"/>
          <w:highlight w:val="none"/>
        </w:rPr>
        <w:t>与</w:t>
      </w:r>
      <w:bookmarkStart w:id="187" w:name="_Toc247527581"/>
      <w:bookmarkEnd w:id="187"/>
      <w:bookmarkStart w:id="188" w:name="_Toc152045556"/>
      <w:bookmarkEnd w:id="188"/>
      <w:bookmarkStart w:id="189" w:name="_Toc247513980"/>
      <w:bookmarkEnd w:id="189"/>
      <w:bookmarkStart w:id="190" w:name="_Toc17703"/>
      <w:bookmarkEnd w:id="190"/>
      <w:bookmarkStart w:id="191" w:name="_Toc152042332"/>
      <w:bookmarkEnd w:id="191"/>
      <w:bookmarkStart w:id="192" w:name="_Toc300834977"/>
      <w:bookmarkEnd w:id="192"/>
      <w:bookmarkStart w:id="193" w:name="_Toc369531544"/>
      <w:bookmarkEnd w:id="193"/>
      <w:bookmarkStart w:id="194" w:name="_Toc361508613"/>
      <w:bookmarkEnd w:id="194"/>
      <w:bookmarkStart w:id="195" w:name="_Toc144974524"/>
      <w:bookmarkEnd w:id="195"/>
      <w:bookmarkStart w:id="196" w:name="_Toc384308238"/>
      <w:bookmarkEnd w:id="196"/>
      <w:bookmarkStart w:id="197" w:name="_Toc352691500"/>
      <w:r>
        <w:rPr>
          <w:rFonts w:hint="eastAsia" w:ascii="黑体" w:hAnsi="黑体" w:eastAsia="黑体" w:cs="黑体"/>
          <w:color w:val="000000"/>
          <w:sz w:val="24"/>
          <w:szCs w:val="24"/>
          <w:highlight w:val="none"/>
        </w:rPr>
        <w:t>招标投标有关活动中从事违法行</w:t>
      </w:r>
      <w:bookmarkEnd w:id="197"/>
      <w:r>
        <w:rPr>
          <w:rFonts w:hint="eastAsia" w:ascii="黑体" w:hAnsi="黑体" w:eastAsia="黑体" w:cs="黑体"/>
          <w:color w:val="000000"/>
          <w:sz w:val="24"/>
          <w:szCs w:val="24"/>
          <w:highlight w:val="none"/>
        </w:rPr>
        <w:t>为而受过行政处罚或刑事处罚的；</w:t>
      </w:r>
    </w:p>
    <w:p w14:paraId="204CDCE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（5）与</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有其他利害关系。</w:t>
      </w:r>
    </w:p>
    <w:p w14:paraId="13535CD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6.1.3 评标过程中，评标委员会成员有回避事由、擅离职守或者因健康等原因不能继续评标的，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有权更换。被更换的评标委员会成员作出的评审结论无效，由更换后的评标委员会成员重新进行评审。</w:t>
      </w:r>
    </w:p>
    <w:p w14:paraId="1915FB3F">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198" w:name="_Toc492300391"/>
      <w:bookmarkEnd w:id="198"/>
      <w:bookmarkStart w:id="199" w:name="_Toc5921"/>
      <w:r>
        <w:rPr>
          <w:rFonts w:hint="eastAsia" w:ascii="黑体" w:hAnsi="黑体" w:eastAsia="黑体" w:cs="黑体"/>
          <w:b/>
          <w:bCs/>
          <w:sz w:val="24"/>
          <w:szCs w:val="24"/>
          <w:highlight w:val="none"/>
        </w:rPr>
        <w:t>6.2 评标原则</w:t>
      </w:r>
      <w:bookmarkEnd w:id="199"/>
    </w:p>
    <w:p w14:paraId="1BA707C5">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评标活动遵循公平、公正、科学和择优的原</w:t>
      </w:r>
      <w:bookmarkStart w:id="200" w:name="_Toc369531545"/>
      <w:bookmarkEnd w:id="200"/>
      <w:bookmarkStart w:id="201" w:name="_Toc18949"/>
      <w:bookmarkEnd w:id="201"/>
      <w:bookmarkStart w:id="202" w:name="_Toc247513981"/>
      <w:bookmarkEnd w:id="202"/>
      <w:bookmarkStart w:id="203" w:name="_Toc384308239"/>
      <w:bookmarkEnd w:id="203"/>
      <w:bookmarkStart w:id="204" w:name="_Toc247527582"/>
      <w:bookmarkEnd w:id="204"/>
      <w:bookmarkStart w:id="205" w:name="_Toc352691501"/>
      <w:bookmarkEnd w:id="205"/>
      <w:bookmarkStart w:id="206" w:name="_Toc300834978"/>
      <w:bookmarkEnd w:id="206"/>
      <w:bookmarkStart w:id="207" w:name="_Toc361508614"/>
      <w:bookmarkEnd w:id="207"/>
      <w:bookmarkStart w:id="208" w:name="_Toc152042333"/>
      <w:bookmarkEnd w:id="208"/>
      <w:bookmarkStart w:id="209" w:name="_Toc152045557"/>
      <w:bookmarkEnd w:id="209"/>
      <w:bookmarkStart w:id="210" w:name="_Toc144974525"/>
      <w:r>
        <w:rPr>
          <w:rFonts w:hint="eastAsia" w:ascii="黑体" w:hAnsi="黑体" w:eastAsia="黑体" w:cs="黑体"/>
          <w:color w:val="000000"/>
          <w:sz w:val="24"/>
          <w:szCs w:val="24"/>
          <w:highlight w:val="none"/>
        </w:rPr>
        <w:t>则。</w:t>
      </w:r>
      <w:bookmarkEnd w:id="210"/>
    </w:p>
    <w:p w14:paraId="332B8CFC">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11" w:name="_Toc492300392"/>
      <w:bookmarkEnd w:id="211"/>
      <w:bookmarkStart w:id="212" w:name="_Toc28557"/>
      <w:r>
        <w:rPr>
          <w:rFonts w:hint="eastAsia" w:ascii="黑体" w:hAnsi="黑体" w:eastAsia="黑体" w:cs="黑体"/>
          <w:b/>
          <w:bCs/>
          <w:sz w:val="24"/>
          <w:szCs w:val="24"/>
          <w:highlight w:val="none"/>
        </w:rPr>
        <w:t>6.3 评标</w:t>
      </w:r>
      <w:bookmarkEnd w:id="212"/>
    </w:p>
    <w:p w14:paraId="5987B50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6.3.1 评标委员会按照第三章“评标办法”规定的方法、评审因素、标准和程序对投标文件进行评审。第三章“评标办法”没有规定的方法、评审因素和标准，不作为评标依据。</w:t>
      </w:r>
    </w:p>
    <w:p w14:paraId="067A94A5">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6.3.2 评标完成后，评标委员会应当向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提交书面评标报告和中标候选人名单。评标委员会推荐中标候选人的人数见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p>
    <w:p w14:paraId="474998B9">
      <w:pPr>
        <w:pStyle w:val="2"/>
        <w:rPr>
          <w:rFonts w:hint="eastAsia" w:ascii="黑体" w:hAnsi="黑体" w:eastAsia="黑体" w:cs="黑体"/>
          <w:sz w:val="24"/>
          <w:szCs w:val="24"/>
          <w:highlight w:val="none"/>
          <w:lang w:val="en-US" w:eastAsia="zh-CN"/>
        </w:rPr>
      </w:pPr>
      <w:r>
        <w:rPr>
          <w:rFonts w:hint="eastAsia" w:ascii="黑体" w:hAnsi="黑体" w:eastAsia="黑体" w:cs="黑体"/>
          <w:color w:val="000000"/>
          <w:sz w:val="24"/>
          <w:szCs w:val="24"/>
          <w:highlight w:val="none"/>
          <w:lang w:val="en-US" w:eastAsia="zh-CN"/>
        </w:rPr>
        <w:t xml:space="preserve">    6.3.3 </w:t>
      </w:r>
      <w:r>
        <w:rPr>
          <w:rFonts w:hint="eastAsia" w:ascii="黑体" w:hAnsi="黑体" w:eastAsia="黑体" w:cs="黑体"/>
          <w:color w:val="000000"/>
          <w:sz w:val="24"/>
          <w:szCs w:val="24"/>
          <w:highlight w:val="none"/>
        </w:rPr>
        <w:t>评标委员会推荐中标候选人</w:t>
      </w:r>
      <w:r>
        <w:rPr>
          <w:rFonts w:hint="eastAsia" w:ascii="黑体" w:hAnsi="黑体" w:eastAsia="黑体" w:cs="黑体"/>
          <w:color w:val="000000"/>
          <w:sz w:val="24"/>
          <w:szCs w:val="24"/>
          <w:highlight w:val="none"/>
          <w:lang w:val="en-US" w:eastAsia="zh-CN"/>
        </w:rPr>
        <w:t>原则，</w:t>
      </w:r>
      <w:r>
        <w:rPr>
          <w:rFonts w:hint="eastAsia" w:ascii="黑体" w:hAnsi="黑体" w:eastAsia="黑体" w:cs="黑体"/>
          <w:color w:val="000000"/>
          <w:sz w:val="24"/>
          <w:szCs w:val="24"/>
          <w:highlight w:val="none"/>
        </w:rPr>
        <w:t>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r>
        <w:rPr>
          <w:rFonts w:hint="eastAsia" w:ascii="黑体" w:hAnsi="黑体" w:eastAsia="黑体" w:cs="黑体"/>
          <w:color w:val="000000"/>
          <w:sz w:val="24"/>
          <w:szCs w:val="24"/>
          <w:highlight w:val="none"/>
          <w:lang w:eastAsia="zh-CN"/>
        </w:rPr>
        <w:t>。</w:t>
      </w:r>
    </w:p>
    <w:p w14:paraId="225776FE">
      <w:pPr>
        <w:pStyle w:val="4"/>
        <w:pageBreakBefore w:val="0"/>
        <w:numPr>
          <w:ilvl w:val="0"/>
          <w:numId w:val="0"/>
        </w:numPr>
        <w:kinsoku/>
        <w:wordWrap/>
        <w:overflowPunct/>
        <w:topLinePunct w:val="0"/>
        <w:autoSpaceDE/>
        <w:autoSpaceDN/>
        <w:bidi w:val="0"/>
        <w:spacing w:line="360" w:lineRule="auto"/>
        <w:ind w:firstLine="482" w:firstLineChars="200"/>
        <w:jc w:val="left"/>
        <w:textAlignment w:val="auto"/>
        <w:rPr>
          <w:rFonts w:hint="eastAsia" w:ascii="黑体" w:hAnsi="黑体" w:eastAsia="黑体" w:cs="黑体"/>
          <w:b/>
          <w:bCs/>
          <w:color w:val="000000"/>
          <w:sz w:val="24"/>
          <w:szCs w:val="24"/>
          <w:highlight w:val="none"/>
        </w:rPr>
      </w:pPr>
      <w:bookmarkStart w:id="213" w:name="_Toc492300393"/>
      <w:bookmarkEnd w:id="213"/>
      <w:bookmarkStart w:id="214" w:name="_Toc7583"/>
      <w:r>
        <w:rPr>
          <w:rFonts w:hint="eastAsia" w:ascii="黑体" w:hAnsi="黑体" w:eastAsia="黑体" w:cs="黑体"/>
          <w:b/>
          <w:bCs/>
          <w:color w:val="000000"/>
          <w:sz w:val="24"/>
          <w:szCs w:val="24"/>
          <w:highlight w:val="none"/>
        </w:rPr>
        <w:t>7. 合同授予</w:t>
      </w:r>
      <w:bookmarkEnd w:id="214"/>
    </w:p>
    <w:p w14:paraId="39B059C7">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15" w:name="_Toc492300394"/>
      <w:bookmarkEnd w:id="215"/>
      <w:bookmarkStart w:id="216" w:name="_Toc26456"/>
      <w:r>
        <w:rPr>
          <w:rFonts w:hint="eastAsia" w:ascii="黑体" w:hAnsi="黑体" w:eastAsia="黑体" w:cs="黑体"/>
          <w:b/>
          <w:bCs/>
          <w:sz w:val="24"/>
          <w:szCs w:val="24"/>
          <w:highlight w:val="none"/>
        </w:rPr>
        <w:t xml:space="preserve">7.1 </w:t>
      </w:r>
      <w:r>
        <w:rPr>
          <w:rFonts w:hint="eastAsia" w:ascii="黑体" w:hAnsi="黑体" w:eastAsia="黑体" w:cs="黑体"/>
          <w:b/>
          <w:bCs/>
          <w:sz w:val="24"/>
          <w:szCs w:val="24"/>
          <w:highlight w:val="none"/>
          <w:lang w:val="en-US" w:eastAsia="zh-CN"/>
        </w:rPr>
        <w:t>成交结果</w:t>
      </w:r>
      <w:r>
        <w:rPr>
          <w:rFonts w:hint="eastAsia" w:ascii="黑体" w:hAnsi="黑体" w:eastAsia="黑体" w:cs="黑体"/>
          <w:b/>
          <w:bCs/>
          <w:sz w:val="24"/>
          <w:szCs w:val="24"/>
          <w:highlight w:val="none"/>
        </w:rPr>
        <w:t>公示</w:t>
      </w:r>
      <w:bookmarkEnd w:id="216"/>
    </w:p>
    <w:p w14:paraId="16A255E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在收到评标报告之日起3日内，按照</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须知前附表规定的公示媒介和期限公示</w:t>
      </w:r>
      <w:r>
        <w:rPr>
          <w:rFonts w:hint="eastAsia" w:ascii="黑体" w:hAnsi="黑体" w:eastAsia="黑体" w:cs="黑体"/>
          <w:color w:val="000000"/>
          <w:sz w:val="24"/>
          <w:szCs w:val="24"/>
          <w:highlight w:val="none"/>
          <w:lang w:val="en-US" w:eastAsia="zh-CN"/>
        </w:rPr>
        <w:t>成交结果</w:t>
      </w:r>
      <w:r>
        <w:rPr>
          <w:rFonts w:hint="eastAsia" w:ascii="黑体" w:hAnsi="黑体" w:eastAsia="黑体" w:cs="黑体"/>
          <w:color w:val="000000"/>
          <w:sz w:val="24"/>
          <w:szCs w:val="24"/>
          <w:highlight w:val="none"/>
        </w:rPr>
        <w:t>，公示期不得少于</w:t>
      </w:r>
      <w:r>
        <w:rPr>
          <w:rFonts w:hint="eastAsia" w:ascii="黑体" w:hAnsi="黑体" w:eastAsia="黑体" w:cs="黑体"/>
          <w:color w:val="000000"/>
          <w:sz w:val="24"/>
          <w:szCs w:val="24"/>
          <w:highlight w:val="none"/>
          <w:lang w:val="en-US" w:eastAsia="zh-CN"/>
        </w:rPr>
        <w:t>1日</w:t>
      </w:r>
      <w:r>
        <w:rPr>
          <w:rFonts w:hint="eastAsia" w:ascii="黑体" w:hAnsi="黑体" w:eastAsia="黑体" w:cs="黑体"/>
          <w:color w:val="000000"/>
          <w:sz w:val="24"/>
          <w:szCs w:val="24"/>
          <w:highlight w:val="none"/>
        </w:rPr>
        <w:t>。</w:t>
      </w:r>
    </w:p>
    <w:p w14:paraId="21624CCF">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17" w:name="_Toc492300395"/>
      <w:bookmarkEnd w:id="217"/>
      <w:bookmarkStart w:id="218" w:name="_Toc24719"/>
      <w:r>
        <w:rPr>
          <w:rFonts w:hint="eastAsia" w:ascii="黑体" w:hAnsi="黑体" w:eastAsia="黑体" w:cs="黑体"/>
          <w:b/>
          <w:bCs/>
          <w:sz w:val="24"/>
          <w:szCs w:val="24"/>
          <w:highlight w:val="none"/>
        </w:rPr>
        <w:t>7.2 评标结果异议</w:t>
      </w:r>
      <w:bookmarkEnd w:id="218"/>
    </w:p>
    <w:p w14:paraId="13B4CA00">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供应商认为采购文件、采购过程和中标、成交结果使自己的权益受到损害的，可以在知道或者应知其权益受到损害之日起七个工作日内，以书面形式向采购人提出质疑。采购人应当在收到供应商的书面质疑后七个工作日内作出答复，并以书面形式通知质疑供应商和其他有关供应商，但答复的内容不得涉及商业秘密。</w:t>
      </w:r>
      <w:r>
        <w:rPr>
          <w:rFonts w:hint="eastAsia" w:ascii="黑体" w:hAnsi="黑体" w:eastAsia="黑体" w:cs="黑体"/>
          <w:color w:val="000000"/>
          <w:sz w:val="24"/>
          <w:szCs w:val="24"/>
          <w:highlight w:val="none"/>
        </w:rPr>
        <w:t>作出答复前，将暂停招标投标活动。</w:t>
      </w:r>
    </w:p>
    <w:p w14:paraId="43332174">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19" w:name="_Toc492300396"/>
      <w:bookmarkEnd w:id="219"/>
      <w:bookmarkStart w:id="220" w:name="_Toc15152"/>
      <w:r>
        <w:rPr>
          <w:rFonts w:hint="eastAsia" w:ascii="黑体" w:hAnsi="黑体" w:eastAsia="黑体" w:cs="黑体"/>
          <w:b/>
          <w:bCs/>
          <w:sz w:val="24"/>
          <w:szCs w:val="24"/>
          <w:highlight w:val="none"/>
        </w:rPr>
        <w:t>7.3 中标候选人履约能力审查</w:t>
      </w:r>
      <w:bookmarkEnd w:id="220"/>
    </w:p>
    <w:p w14:paraId="3B81C71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中标候选人的经营、财务状况发生较大变化或存在违法行为，</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认为可能影响其履约能力的，将在发出中标通知书前提请原评标委员会按照</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规定的标准和方法进行审查确认。</w:t>
      </w:r>
    </w:p>
    <w:p w14:paraId="2D5883AA">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21" w:name="_Toc492300397"/>
      <w:bookmarkEnd w:id="221"/>
      <w:bookmarkStart w:id="222" w:name="_Toc15405"/>
      <w:r>
        <w:rPr>
          <w:rFonts w:hint="eastAsia" w:ascii="黑体" w:hAnsi="黑体" w:eastAsia="黑体" w:cs="黑体"/>
          <w:b/>
          <w:bCs/>
          <w:sz w:val="24"/>
          <w:szCs w:val="24"/>
          <w:highlight w:val="none"/>
        </w:rPr>
        <w:t>7.4 定标</w:t>
      </w:r>
      <w:bookmarkEnd w:id="222"/>
    </w:p>
    <w:p w14:paraId="1B875E0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按照</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须知前附表的规定，</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或</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授权的评标委员会依法确定</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w:t>
      </w:r>
    </w:p>
    <w:p w14:paraId="0A8E6F26">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排名第一的中标候选人放弃中标、因不可抗力不能履行合同、不按照</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要求提交履约保证金，或者被查实存在影响中标结果的违法行为等情形，不符合中标条件的，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可以按照评标委员会提出的中标候选人名单排序依次确定其他中标候选人为</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，也可以重新招标。</w:t>
      </w:r>
    </w:p>
    <w:p w14:paraId="2087B6D5">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23" w:name="_Toc492300398"/>
      <w:bookmarkEnd w:id="223"/>
      <w:bookmarkStart w:id="224" w:name="_Toc7046"/>
      <w:r>
        <w:rPr>
          <w:rFonts w:hint="eastAsia" w:ascii="黑体" w:hAnsi="黑体" w:eastAsia="黑体" w:cs="黑体"/>
          <w:b/>
          <w:bCs/>
          <w:sz w:val="24"/>
          <w:szCs w:val="24"/>
          <w:highlight w:val="none"/>
        </w:rPr>
        <w:t>7.5 中标通知</w:t>
      </w:r>
      <w:bookmarkEnd w:id="224"/>
    </w:p>
    <w:p w14:paraId="2A3A2DB2">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在本章第3.3款规定的投标有效期内，</w:t>
      </w:r>
      <w:r>
        <w:rPr>
          <w:rFonts w:hint="eastAsia" w:ascii="黑体" w:hAnsi="黑体" w:eastAsia="黑体" w:cs="黑体"/>
          <w:sz w:val="24"/>
          <w:szCs w:val="24"/>
          <w:highlight w:val="none"/>
          <w:lang w:eastAsia="zh-CN"/>
        </w:rPr>
        <w:t>采购人</w:t>
      </w:r>
      <w:r>
        <w:rPr>
          <w:rFonts w:hint="eastAsia" w:ascii="黑体" w:hAnsi="黑体" w:eastAsia="黑体" w:cs="黑体"/>
          <w:sz w:val="24"/>
          <w:szCs w:val="24"/>
          <w:highlight w:val="none"/>
        </w:rPr>
        <w:t>以书面形式向</w:t>
      </w:r>
      <w:r>
        <w:rPr>
          <w:rFonts w:hint="eastAsia" w:ascii="黑体" w:hAnsi="黑体" w:eastAsia="黑体" w:cs="黑体"/>
          <w:sz w:val="24"/>
          <w:szCs w:val="24"/>
          <w:highlight w:val="none"/>
          <w:lang w:eastAsia="zh-CN"/>
        </w:rPr>
        <w:t>成交供应商</w:t>
      </w:r>
      <w:r>
        <w:rPr>
          <w:rFonts w:hint="eastAsia" w:ascii="黑体" w:hAnsi="黑体" w:eastAsia="黑体" w:cs="黑体"/>
          <w:sz w:val="24"/>
          <w:szCs w:val="24"/>
          <w:highlight w:val="none"/>
        </w:rPr>
        <w:t>发出中标</w:t>
      </w:r>
      <w:bookmarkStart w:id="225" w:name="_Toc384308244"/>
      <w:bookmarkEnd w:id="225"/>
      <w:bookmarkStart w:id="226" w:name="_Toc5668"/>
      <w:bookmarkEnd w:id="226"/>
      <w:bookmarkStart w:id="227" w:name="_Toc352691506"/>
      <w:bookmarkEnd w:id="227"/>
      <w:bookmarkStart w:id="228" w:name="_Toc369531550"/>
      <w:bookmarkEnd w:id="228"/>
      <w:bookmarkStart w:id="229" w:name="_Toc361508619"/>
      <w:bookmarkEnd w:id="229"/>
      <w:bookmarkStart w:id="230" w:name="_Toc300834983"/>
      <w:r>
        <w:rPr>
          <w:rFonts w:hint="eastAsia" w:ascii="黑体" w:hAnsi="黑体" w:eastAsia="黑体" w:cs="黑体"/>
          <w:sz w:val="24"/>
          <w:szCs w:val="24"/>
          <w:highlight w:val="none"/>
        </w:rPr>
        <w:t>通知书，同时将中</w:t>
      </w:r>
      <w:bookmarkEnd w:id="230"/>
      <w:r>
        <w:rPr>
          <w:rFonts w:hint="eastAsia" w:ascii="黑体" w:hAnsi="黑体" w:eastAsia="黑体" w:cs="黑体"/>
          <w:sz w:val="24"/>
          <w:szCs w:val="24"/>
          <w:highlight w:val="none"/>
        </w:rPr>
        <w:t>标结果通知未中标的</w:t>
      </w:r>
      <w:r>
        <w:rPr>
          <w:rFonts w:hint="eastAsia" w:ascii="黑体" w:hAnsi="黑体" w:eastAsia="黑体" w:cs="黑体"/>
          <w:sz w:val="24"/>
          <w:szCs w:val="24"/>
          <w:highlight w:val="none"/>
          <w:lang w:eastAsia="zh-CN"/>
        </w:rPr>
        <w:t>供应商</w:t>
      </w:r>
      <w:r>
        <w:rPr>
          <w:rFonts w:hint="eastAsia" w:ascii="黑体" w:hAnsi="黑体" w:eastAsia="黑体" w:cs="黑体"/>
          <w:sz w:val="24"/>
          <w:szCs w:val="24"/>
          <w:highlight w:val="none"/>
        </w:rPr>
        <w:t>。</w:t>
      </w:r>
    </w:p>
    <w:p w14:paraId="04E87567">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31" w:name="_Toc482188479"/>
      <w:bookmarkEnd w:id="231"/>
      <w:bookmarkStart w:id="232" w:name="_Toc22462"/>
      <w:bookmarkStart w:id="233" w:name="_Toc492300399"/>
      <w:r>
        <w:rPr>
          <w:rFonts w:hint="eastAsia" w:ascii="黑体" w:hAnsi="黑体" w:eastAsia="黑体" w:cs="黑体"/>
          <w:b/>
          <w:bCs/>
          <w:sz w:val="24"/>
          <w:szCs w:val="24"/>
          <w:highlight w:val="none"/>
        </w:rPr>
        <w:t>7.6 技术成果经济补偿</w:t>
      </w:r>
      <w:bookmarkEnd w:id="232"/>
      <w:bookmarkEnd w:id="233"/>
    </w:p>
    <w:p w14:paraId="15DA8537">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对符合</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规定的未</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的技术成果进行补偿的，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将按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须知前附表规定的标准给予经济补偿，未</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在</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中声明放弃技术成果经济补偿费的除外。</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将于中标通知书发出后30日内向未</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支付技术成果经济补偿费。</w:t>
      </w:r>
    </w:p>
    <w:p w14:paraId="338A6D06">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34" w:name="_Toc492300400"/>
      <w:bookmarkEnd w:id="234"/>
      <w:bookmarkStart w:id="235" w:name="_Toc20667"/>
      <w:r>
        <w:rPr>
          <w:rFonts w:hint="eastAsia" w:ascii="黑体" w:hAnsi="黑体" w:eastAsia="黑体" w:cs="黑体"/>
          <w:b/>
          <w:bCs/>
          <w:sz w:val="24"/>
          <w:szCs w:val="24"/>
          <w:highlight w:val="none"/>
        </w:rPr>
        <w:t>7.7履约保证金</w:t>
      </w:r>
      <w:bookmarkEnd w:id="235"/>
    </w:p>
    <w:p w14:paraId="6A09AA59">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lang w:eastAsia="zh-CN"/>
        </w:rPr>
      </w:pPr>
      <w:r>
        <w:rPr>
          <w:rFonts w:hint="eastAsia" w:ascii="黑体" w:hAnsi="黑体" w:eastAsia="黑体" w:cs="黑体"/>
          <w:color w:val="000000"/>
          <w:sz w:val="24"/>
          <w:szCs w:val="24"/>
          <w:highlight w:val="none"/>
        </w:rPr>
        <w:t>7.7.1 在签订合同前，</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应按</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须知前附表规定的形式、金额和</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第四章“合同条款及格式”规定的或者事先经过</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书面认可的履约保证金格式向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提交履约保证金。</w:t>
      </w:r>
      <w:r>
        <w:rPr>
          <w:rFonts w:hint="eastAsia" w:ascii="黑体" w:hAnsi="黑体" w:eastAsia="黑体" w:cs="黑体"/>
          <w:color w:val="000000"/>
          <w:sz w:val="24"/>
          <w:szCs w:val="24"/>
          <w:highlight w:val="none"/>
          <w:lang w:val="en-US" w:eastAsia="zh-CN"/>
        </w:rPr>
        <w:t>按照</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须知前附表规定</w:t>
      </w:r>
      <w:r>
        <w:rPr>
          <w:rFonts w:hint="eastAsia" w:ascii="黑体" w:hAnsi="黑体" w:eastAsia="黑体" w:cs="黑体"/>
          <w:color w:val="000000"/>
          <w:sz w:val="24"/>
          <w:szCs w:val="24"/>
          <w:highlight w:val="none"/>
          <w:lang w:eastAsia="zh-CN"/>
        </w:rPr>
        <w:t>。</w:t>
      </w:r>
    </w:p>
    <w:p w14:paraId="36193DD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7.7.2 </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不能按本章第7.7.1项要求提交履约保证金的，视为放弃中标，其投标保证金不予退还，给</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造成的损失超过投标保证金数额的，</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还应当对超过部分予以赔偿。</w:t>
      </w:r>
    </w:p>
    <w:p w14:paraId="5C2A8BA3">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36" w:name="_Toc492300401"/>
      <w:bookmarkEnd w:id="236"/>
      <w:bookmarkStart w:id="237" w:name="_Toc26507"/>
      <w:r>
        <w:rPr>
          <w:rFonts w:hint="eastAsia" w:ascii="黑体" w:hAnsi="黑体" w:eastAsia="黑体" w:cs="黑体"/>
          <w:b/>
          <w:bCs/>
          <w:sz w:val="24"/>
          <w:szCs w:val="24"/>
          <w:highlight w:val="none"/>
        </w:rPr>
        <w:t>7.8签订合同</w:t>
      </w:r>
      <w:bookmarkEnd w:id="237"/>
    </w:p>
    <w:p w14:paraId="190DC78E">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7.8.1 </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和</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应当在中标通知书发出之日起30日内，根据</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和</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的</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订立书面合同。</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sz w:val="24"/>
          <w:szCs w:val="24"/>
          <w:highlight w:val="none"/>
        </w:rPr>
        <w:t>无正当理由拒签合同，在签订合同时向</w:t>
      </w:r>
      <w:r>
        <w:rPr>
          <w:rFonts w:hint="eastAsia" w:ascii="黑体" w:hAnsi="黑体" w:eastAsia="黑体" w:cs="黑体"/>
          <w:sz w:val="24"/>
          <w:szCs w:val="24"/>
          <w:highlight w:val="none"/>
          <w:lang w:eastAsia="zh-CN"/>
        </w:rPr>
        <w:t>采购人</w:t>
      </w:r>
      <w:r>
        <w:rPr>
          <w:rFonts w:hint="eastAsia" w:ascii="黑体" w:hAnsi="黑体" w:eastAsia="黑体" w:cs="黑体"/>
          <w:sz w:val="24"/>
          <w:szCs w:val="24"/>
          <w:highlight w:val="none"/>
        </w:rPr>
        <w:t>提出附加条件，或者不按照</w:t>
      </w:r>
      <w:r>
        <w:rPr>
          <w:rFonts w:hint="eastAsia" w:ascii="黑体" w:hAnsi="黑体" w:eastAsia="黑体" w:cs="黑体"/>
          <w:sz w:val="24"/>
          <w:szCs w:val="24"/>
          <w:highlight w:val="none"/>
          <w:lang w:eastAsia="zh-CN"/>
        </w:rPr>
        <w:t>竞争性磋商文件</w:t>
      </w:r>
      <w:r>
        <w:rPr>
          <w:rFonts w:hint="eastAsia" w:ascii="黑体" w:hAnsi="黑体" w:eastAsia="黑体" w:cs="黑体"/>
          <w:sz w:val="24"/>
          <w:szCs w:val="24"/>
          <w:highlight w:val="none"/>
        </w:rPr>
        <w:t>要求提交履约保证金的</w:t>
      </w:r>
      <w:r>
        <w:rPr>
          <w:rFonts w:hint="eastAsia" w:ascii="黑体" w:hAnsi="黑体" w:eastAsia="黑体" w:cs="黑体"/>
          <w:color w:val="000000"/>
          <w:sz w:val="24"/>
          <w:szCs w:val="24"/>
          <w:highlight w:val="none"/>
        </w:rPr>
        <w:t>，</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有权取消其中标资格，其投标保证金不予退还；给</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造成的损失超过投标保证金数额的，</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还应当对超过部分予以赔偿。</w:t>
      </w:r>
    </w:p>
    <w:p w14:paraId="13E6383C">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7.8.2 发出中标通知书后，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无正当理由拒签合同，或者</w:t>
      </w:r>
      <w:r>
        <w:rPr>
          <w:rFonts w:hint="eastAsia" w:ascii="黑体" w:hAnsi="黑体" w:eastAsia="黑体" w:cs="黑体"/>
          <w:sz w:val="24"/>
          <w:szCs w:val="24"/>
          <w:highlight w:val="none"/>
        </w:rPr>
        <w:t>在签订合同时向</w:t>
      </w:r>
      <w:r>
        <w:rPr>
          <w:rFonts w:hint="eastAsia" w:ascii="黑体" w:hAnsi="黑体" w:eastAsia="黑体" w:cs="黑体"/>
          <w:sz w:val="24"/>
          <w:szCs w:val="24"/>
          <w:highlight w:val="none"/>
          <w:lang w:eastAsia="zh-CN"/>
        </w:rPr>
        <w:t>成交供应商</w:t>
      </w:r>
      <w:r>
        <w:rPr>
          <w:rFonts w:hint="eastAsia" w:ascii="黑体" w:hAnsi="黑体" w:eastAsia="黑体" w:cs="黑体"/>
          <w:color w:val="000000"/>
          <w:sz w:val="24"/>
          <w:szCs w:val="24"/>
          <w:highlight w:val="none"/>
        </w:rPr>
        <w:t>提出附加条件的，</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向</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退还投标保证金；给</w:t>
      </w:r>
      <w:r>
        <w:rPr>
          <w:rFonts w:hint="eastAsia" w:ascii="黑体" w:hAnsi="黑体" w:eastAsia="黑体" w:cs="黑体"/>
          <w:color w:val="000000"/>
          <w:sz w:val="24"/>
          <w:szCs w:val="24"/>
          <w:highlight w:val="none"/>
          <w:lang w:eastAsia="zh-CN"/>
        </w:rPr>
        <w:t>成交供应商</w:t>
      </w:r>
      <w:r>
        <w:rPr>
          <w:rFonts w:hint="eastAsia" w:ascii="黑体" w:hAnsi="黑体" w:eastAsia="黑体" w:cs="黑体"/>
          <w:color w:val="000000"/>
          <w:sz w:val="24"/>
          <w:szCs w:val="24"/>
          <w:highlight w:val="none"/>
        </w:rPr>
        <w:t>造成损失的，还应当赔偿损失。</w:t>
      </w:r>
    </w:p>
    <w:p w14:paraId="437682F5">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7.8.3联合体中标的，联合体各方应当共同与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签订合同，就中标项目向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承担连带责任。</w:t>
      </w:r>
    </w:p>
    <w:p w14:paraId="75A24E96">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color w:val="000000"/>
          <w:sz w:val="24"/>
          <w:szCs w:val="24"/>
          <w:highlight w:val="none"/>
        </w:rPr>
      </w:pPr>
      <w:bookmarkStart w:id="238" w:name="_Toc492300402"/>
      <w:bookmarkEnd w:id="238"/>
      <w:bookmarkStart w:id="239" w:name="_Toc24067"/>
      <w:bookmarkEnd w:id="239"/>
      <w:bookmarkStart w:id="240" w:name="_Toc152042344"/>
      <w:bookmarkEnd w:id="240"/>
      <w:bookmarkStart w:id="241" w:name="_Toc144974536"/>
      <w:bookmarkEnd w:id="241"/>
      <w:bookmarkStart w:id="242" w:name="_Toc384308252"/>
      <w:bookmarkEnd w:id="242"/>
      <w:bookmarkStart w:id="243" w:name="_Toc247527593"/>
      <w:bookmarkEnd w:id="243"/>
      <w:bookmarkStart w:id="244" w:name="_Toc152045568"/>
      <w:bookmarkEnd w:id="244"/>
      <w:bookmarkStart w:id="245" w:name="_Toc361508627"/>
      <w:bookmarkEnd w:id="245"/>
      <w:bookmarkStart w:id="246" w:name="_Toc247513992"/>
      <w:bookmarkEnd w:id="246"/>
      <w:bookmarkStart w:id="247" w:name="_Toc300834991"/>
      <w:bookmarkStart w:id="248" w:name="_Toc15796"/>
      <w:r>
        <w:rPr>
          <w:rFonts w:hint="eastAsia" w:ascii="黑体" w:hAnsi="黑体" w:eastAsia="黑体" w:cs="黑体"/>
          <w:b/>
          <w:bCs/>
          <w:color w:val="000000"/>
          <w:sz w:val="24"/>
          <w:szCs w:val="24"/>
          <w:highlight w:val="none"/>
        </w:rPr>
        <w:t>8.</w:t>
      </w:r>
      <w:bookmarkEnd w:id="247"/>
      <w:r>
        <w:rPr>
          <w:rFonts w:hint="eastAsia" w:ascii="黑体" w:hAnsi="黑体" w:eastAsia="黑体" w:cs="黑体"/>
          <w:b/>
          <w:bCs/>
          <w:color w:val="000000"/>
          <w:sz w:val="24"/>
          <w:szCs w:val="24"/>
          <w:highlight w:val="none"/>
        </w:rPr>
        <w:t>纪律和监督</w:t>
      </w:r>
      <w:bookmarkEnd w:id="248"/>
    </w:p>
    <w:p w14:paraId="6A43E5D6">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49" w:name="_Toc492300403"/>
      <w:bookmarkEnd w:id="249"/>
      <w:bookmarkStart w:id="250" w:name="_Toc19354"/>
      <w:r>
        <w:rPr>
          <w:rFonts w:hint="eastAsia" w:ascii="黑体" w:hAnsi="黑体" w:eastAsia="黑体" w:cs="黑体"/>
          <w:b/>
          <w:bCs/>
          <w:sz w:val="24"/>
          <w:szCs w:val="24"/>
          <w:highlight w:val="none"/>
        </w:rPr>
        <w:t>8.1 对</w:t>
      </w:r>
      <w:r>
        <w:rPr>
          <w:rFonts w:hint="eastAsia" w:ascii="黑体" w:hAnsi="黑体" w:eastAsia="黑体" w:cs="黑体"/>
          <w:b/>
          <w:bCs/>
          <w:sz w:val="24"/>
          <w:szCs w:val="24"/>
          <w:highlight w:val="none"/>
          <w:lang w:eastAsia="zh-CN"/>
        </w:rPr>
        <w:t>采购人</w:t>
      </w:r>
      <w:r>
        <w:rPr>
          <w:rFonts w:hint="eastAsia" w:ascii="黑体" w:hAnsi="黑体" w:eastAsia="黑体" w:cs="黑体"/>
          <w:b/>
          <w:bCs/>
          <w:sz w:val="24"/>
          <w:szCs w:val="24"/>
          <w:highlight w:val="none"/>
        </w:rPr>
        <w:t>的纪律要求</w:t>
      </w:r>
      <w:bookmarkEnd w:id="250"/>
    </w:p>
    <w:p w14:paraId="545BF06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不得泄露招标投标活动中应当保密的情况和资料，不得与</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串通损害国家利益、社会公共利益或者他人合法权益。</w:t>
      </w:r>
    </w:p>
    <w:p w14:paraId="7920421E">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51" w:name="_Toc492300404"/>
      <w:bookmarkEnd w:id="251"/>
      <w:bookmarkStart w:id="252" w:name="_Toc4149"/>
      <w:r>
        <w:rPr>
          <w:rFonts w:hint="eastAsia" w:ascii="黑体" w:hAnsi="黑体" w:eastAsia="黑体" w:cs="黑体"/>
          <w:b/>
          <w:bCs/>
          <w:sz w:val="24"/>
          <w:szCs w:val="24"/>
          <w:highlight w:val="none"/>
        </w:rPr>
        <w:t>8.2 对</w:t>
      </w:r>
      <w:r>
        <w:rPr>
          <w:rFonts w:hint="eastAsia" w:ascii="黑体" w:hAnsi="黑体" w:eastAsia="黑体" w:cs="黑体"/>
          <w:b/>
          <w:bCs/>
          <w:sz w:val="24"/>
          <w:szCs w:val="24"/>
          <w:highlight w:val="none"/>
          <w:lang w:eastAsia="zh-CN"/>
        </w:rPr>
        <w:t>供应商</w:t>
      </w:r>
      <w:r>
        <w:rPr>
          <w:rFonts w:hint="eastAsia" w:ascii="黑体" w:hAnsi="黑体" w:eastAsia="黑体" w:cs="黑体"/>
          <w:b/>
          <w:bCs/>
          <w:sz w:val="24"/>
          <w:szCs w:val="24"/>
          <w:highlight w:val="none"/>
        </w:rPr>
        <w:t>的纪律要求</w:t>
      </w:r>
      <w:bookmarkEnd w:id="252"/>
    </w:p>
    <w:p w14:paraId="183BBFEA">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不得相互串通</w:t>
      </w:r>
      <w:r>
        <w:rPr>
          <w:rFonts w:hint="eastAsia" w:ascii="黑体" w:hAnsi="黑体" w:eastAsia="黑体" w:cs="黑体"/>
          <w:color w:val="000000"/>
          <w:sz w:val="24"/>
          <w:szCs w:val="24"/>
          <w:highlight w:val="none"/>
          <w:lang w:val="en-US" w:eastAsia="zh-CN"/>
        </w:rPr>
        <w:t>投标</w:t>
      </w:r>
      <w:r>
        <w:rPr>
          <w:rFonts w:hint="eastAsia" w:ascii="黑体" w:hAnsi="黑体" w:eastAsia="黑体" w:cs="黑体"/>
          <w:color w:val="000000"/>
          <w:sz w:val="24"/>
          <w:szCs w:val="24"/>
          <w:highlight w:val="none"/>
        </w:rPr>
        <w:t>或者与</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串通</w:t>
      </w:r>
      <w:r>
        <w:rPr>
          <w:rFonts w:hint="eastAsia" w:ascii="黑体" w:hAnsi="黑体" w:eastAsia="黑体" w:cs="黑体"/>
          <w:color w:val="000000"/>
          <w:sz w:val="24"/>
          <w:szCs w:val="24"/>
          <w:highlight w:val="none"/>
          <w:lang w:val="en-US" w:eastAsia="zh-CN"/>
        </w:rPr>
        <w:t>投标</w:t>
      </w:r>
      <w:r>
        <w:rPr>
          <w:rFonts w:hint="eastAsia" w:ascii="黑体" w:hAnsi="黑体" w:eastAsia="黑体" w:cs="黑体"/>
          <w:color w:val="000000"/>
          <w:sz w:val="24"/>
          <w:szCs w:val="24"/>
          <w:highlight w:val="none"/>
        </w:rPr>
        <w:t>，不得向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或者评标委员会成员行贿谋取中标，不得以他人名义</w:t>
      </w:r>
      <w:r>
        <w:rPr>
          <w:rFonts w:hint="eastAsia" w:ascii="黑体" w:hAnsi="黑体" w:eastAsia="黑体" w:cs="黑体"/>
          <w:color w:val="000000"/>
          <w:sz w:val="24"/>
          <w:szCs w:val="24"/>
          <w:highlight w:val="none"/>
          <w:lang w:val="en-US" w:eastAsia="zh-CN"/>
        </w:rPr>
        <w:t>投标</w:t>
      </w:r>
      <w:r>
        <w:rPr>
          <w:rFonts w:hint="eastAsia" w:ascii="黑体" w:hAnsi="黑体" w:eastAsia="黑体" w:cs="黑体"/>
          <w:color w:val="000000"/>
          <w:sz w:val="24"/>
          <w:szCs w:val="24"/>
          <w:highlight w:val="none"/>
        </w:rPr>
        <w:t>或者以其他方式弄虚作假骗取中标；</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不得以任何方式干扰、影响评标工作。</w:t>
      </w:r>
    </w:p>
    <w:p w14:paraId="66AE4CF8">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53" w:name="_Toc492300405"/>
      <w:bookmarkEnd w:id="253"/>
      <w:bookmarkStart w:id="254" w:name="_Toc22830"/>
      <w:r>
        <w:rPr>
          <w:rFonts w:hint="eastAsia" w:ascii="黑体" w:hAnsi="黑体" w:eastAsia="黑体" w:cs="黑体"/>
          <w:b/>
          <w:bCs/>
          <w:sz w:val="24"/>
          <w:szCs w:val="24"/>
          <w:highlight w:val="none"/>
        </w:rPr>
        <w:t>8.3 对评标委员会成员的纪律要求</w:t>
      </w:r>
      <w:bookmarkEnd w:id="254"/>
    </w:p>
    <w:p w14:paraId="6B48ADD2">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评标委员会成员不得收受他人的财物或者其他好处，不得向他人透露对</w:t>
      </w:r>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的评审</w:t>
      </w:r>
      <w:bookmarkStart w:id="255" w:name="_Toc369531559"/>
      <w:bookmarkEnd w:id="255"/>
      <w:bookmarkStart w:id="256" w:name="_Toc352691515"/>
      <w:bookmarkEnd w:id="256"/>
      <w:bookmarkStart w:id="257" w:name="_Toc384308253"/>
      <w:bookmarkEnd w:id="257"/>
      <w:bookmarkStart w:id="258" w:name="_Toc361508628"/>
      <w:bookmarkEnd w:id="258"/>
      <w:bookmarkStart w:id="259" w:name="_Toc13644"/>
      <w:r>
        <w:rPr>
          <w:rFonts w:hint="eastAsia" w:ascii="黑体" w:hAnsi="黑体" w:eastAsia="黑体" w:cs="黑体"/>
          <w:color w:val="000000"/>
          <w:sz w:val="24"/>
          <w:szCs w:val="24"/>
          <w:highlight w:val="none"/>
        </w:rPr>
        <w:t>和比较、中标候选人</w:t>
      </w:r>
      <w:bookmarkEnd w:id="259"/>
      <w:r>
        <w:rPr>
          <w:rFonts w:hint="eastAsia" w:ascii="黑体" w:hAnsi="黑体" w:eastAsia="黑体" w:cs="黑体"/>
          <w:color w:val="000000"/>
          <w:sz w:val="24"/>
          <w:szCs w:val="24"/>
          <w:highlight w:val="none"/>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38A8B4FD">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60" w:name="_Toc492300406"/>
      <w:bookmarkEnd w:id="260"/>
      <w:bookmarkStart w:id="261" w:name="_Toc21716"/>
      <w:r>
        <w:rPr>
          <w:rFonts w:hint="eastAsia" w:ascii="黑体" w:hAnsi="黑体" w:eastAsia="黑体" w:cs="黑体"/>
          <w:b/>
          <w:bCs/>
          <w:sz w:val="24"/>
          <w:szCs w:val="24"/>
          <w:highlight w:val="none"/>
        </w:rPr>
        <w:t>8.4 对与评标活动有关的工作人员的纪律要求</w:t>
      </w:r>
      <w:bookmarkEnd w:id="261"/>
    </w:p>
    <w:p w14:paraId="47C8FBF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与评标活动有关的工作人员不得收受他人的财物或者其他好处，不得向他人透露对</w:t>
      </w:r>
      <w:bookmarkStart w:id="262" w:name="_Toc247527594"/>
      <w:bookmarkEnd w:id="262"/>
      <w:bookmarkStart w:id="263" w:name="_Toc300834992"/>
      <w:bookmarkEnd w:id="263"/>
      <w:bookmarkStart w:id="264" w:name="_Toc384308254"/>
      <w:bookmarkEnd w:id="264"/>
      <w:bookmarkStart w:id="265" w:name="_Toc369531560"/>
      <w:bookmarkEnd w:id="265"/>
      <w:bookmarkStart w:id="266" w:name="_Toc152042345"/>
      <w:bookmarkEnd w:id="266"/>
      <w:bookmarkStart w:id="267" w:name="_Toc144974537"/>
      <w:bookmarkEnd w:id="267"/>
      <w:bookmarkStart w:id="268" w:name="_Toc352691516"/>
      <w:bookmarkEnd w:id="268"/>
      <w:bookmarkStart w:id="269" w:name="_Toc361508629"/>
      <w:bookmarkEnd w:id="269"/>
      <w:bookmarkStart w:id="270" w:name="_Toc19429"/>
      <w:bookmarkEnd w:id="270"/>
      <w:bookmarkStart w:id="271" w:name="_Toc247513993"/>
      <w:bookmarkEnd w:id="271"/>
      <w:bookmarkStart w:id="272" w:name="_Toc152045569"/>
      <w:r>
        <w:rPr>
          <w:rFonts w:hint="eastAsia" w:ascii="黑体" w:hAnsi="黑体" w:eastAsia="黑体" w:cs="黑体"/>
          <w:color w:val="000000"/>
          <w:sz w:val="24"/>
          <w:szCs w:val="24"/>
          <w:highlight w:val="none"/>
          <w:lang w:eastAsia="zh-CN"/>
        </w:rPr>
        <w:t>投标文件</w:t>
      </w:r>
      <w:r>
        <w:rPr>
          <w:rFonts w:hint="eastAsia" w:ascii="黑体" w:hAnsi="黑体" w:eastAsia="黑体" w:cs="黑体"/>
          <w:color w:val="000000"/>
          <w:sz w:val="24"/>
          <w:szCs w:val="24"/>
          <w:highlight w:val="none"/>
        </w:rPr>
        <w:t>的评审和比较、中标</w:t>
      </w:r>
      <w:bookmarkEnd w:id="272"/>
      <w:r>
        <w:rPr>
          <w:rFonts w:hint="eastAsia" w:ascii="黑体" w:hAnsi="黑体" w:eastAsia="黑体" w:cs="黑体"/>
          <w:color w:val="000000"/>
          <w:sz w:val="24"/>
          <w:szCs w:val="24"/>
          <w:highlight w:val="none"/>
        </w:rPr>
        <w:t>候选人的推荐情况以及评标有关的其他情况。在评标活动中，与评标活动有关的工作人员不得擅离职守，影响评标程序正常进行。</w:t>
      </w:r>
    </w:p>
    <w:p w14:paraId="729A7734">
      <w:pPr>
        <w:pageBreakBefore w:val="0"/>
        <w:kinsoku/>
        <w:wordWrap/>
        <w:overflowPunct/>
        <w:topLinePunct w:val="0"/>
        <w:autoSpaceDE/>
        <w:autoSpaceDN/>
        <w:bidi w:val="0"/>
        <w:adjustRightInd w:val="0"/>
        <w:snapToGrid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73" w:name="_Toc492300407"/>
      <w:bookmarkEnd w:id="273"/>
      <w:bookmarkStart w:id="274" w:name="_Toc19805"/>
      <w:r>
        <w:rPr>
          <w:rFonts w:hint="eastAsia" w:ascii="黑体" w:hAnsi="黑体" w:eastAsia="黑体" w:cs="黑体"/>
          <w:b/>
          <w:bCs/>
          <w:sz w:val="24"/>
          <w:szCs w:val="24"/>
          <w:highlight w:val="none"/>
        </w:rPr>
        <w:t>8.5 投诉</w:t>
      </w:r>
      <w:bookmarkEnd w:id="274"/>
    </w:p>
    <w:p w14:paraId="7FBA135B">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8.5.1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或者其他利害关系人认为招标投标活动不符合法律、行政法规规定的，可以自知道或者应当知道之日起10日内向有关行政监督部门投诉。投诉应当有明确的请求和必要的证明材料。</w:t>
      </w:r>
    </w:p>
    <w:p w14:paraId="0802AE1D">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pPr>
      <w:r>
        <w:rPr>
          <w:rFonts w:hint="eastAsia" w:ascii="黑体" w:hAnsi="黑体" w:eastAsia="黑体" w:cs="黑体"/>
          <w:color w:val="000000"/>
          <w:sz w:val="24"/>
          <w:szCs w:val="24"/>
          <w:highlight w:val="none"/>
        </w:rPr>
        <w:t xml:space="preserve">8.5.2 </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或者其他利害关系人对</w:t>
      </w:r>
      <w:r>
        <w:rPr>
          <w:rFonts w:hint="eastAsia" w:ascii="黑体" w:hAnsi="黑体" w:eastAsia="黑体" w:cs="黑体"/>
          <w:color w:val="000000"/>
          <w:sz w:val="24"/>
          <w:szCs w:val="24"/>
          <w:highlight w:val="none"/>
          <w:lang w:eastAsia="zh-CN"/>
        </w:rPr>
        <w:t>竞争性磋商文件</w:t>
      </w:r>
      <w:r>
        <w:rPr>
          <w:rFonts w:hint="eastAsia" w:ascii="黑体" w:hAnsi="黑体" w:eastAsia="黑体" w:cs="黑体"/>
          <w:color w:val="000000"/>
          <w:sz w:val="24"/>
          <w:szCs w:val="24"/>
          <w:highlight w:val="none"/>
        </w:rPr>
        <w:t>、开标和评标结果提出投诉的，应当按照</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须知第2.4款、第5.3款和第7.2款的规定先向</w:t>
      </w:r>
      <w:r>
        <w:rPr>
          <w:rFonts w:hint="eastAsia" w:ascii="黑体" w:hAnsi="黑体" w:eastAsia="黑体" w:cs="黑体"/>
          <w:color w:val="000000"/>
          <w:sz w:val="24"/>
          <w:szCs w:val="24"/>
          <w:highlight w:val="none"/>
          <w:lang w:eastAsia="zh-CN"/>
        </w:rPr>
        <w:t>采购人</w:t>
      </w:r>
      <w:r>
        <w:rPr>
          <w:rFonts w:hint="eastAsia" w:ascii="黑体" w:hAnsi="黑体" w:eastAsia="黑体" w:cs="黑体"/>
          <w:color w:val="000000"/>
          <w:sz w:val="24"/>
          <w:szCs w:val="24"/>
          <w:highlight w:val="none"/>
        </w:rPr>
        <w:t>提出异议。异议答复期间</w:t>
      </w:r>
      <w:bookmarkStart w:id="275" w:name="_Toc152042346"/>
      <w:bookmarkEnd w:id="275"/>
      <w:bookmarkStart w:id="276" w:name="_Toc352691517"/>
      <w:bookmarkEnd w:id="276"/>
      <w:bookmarkStart w:id="277" w:name="_Toc369531561"/>
      <w:bookmarkEnd w:id="277"/>
      <w:bookmarkStart w:id="278" w:name="_Toc247527595"/>
      <w:bookmarkEnd w:id="278"/>
      <w:bookmarkStart w:id="279" w:name="_Toc384308255"/>
      <w:bookmarkEnd w:id="279"/>
      <w:bookmarkStart w:id="280" w:name="_Toc152045570"/>
      <w:bookmarkEnd w:id="280"/>
      <w:bookmarkStart w:id="281" w:name="_Toc300834993"/>
      <w:bookmarkEnd w:id="281"/>
      <w:bookmarkStart w:id="282" w:name="_Toc361508630"/>
      <w:bookmarkEnd w:id="282"/>
      <w:bookmarkStart w:id="283" w:name="_Toc247513994"/>
      <w:bookmarkEnd w:id="283"/>
      <w:bookmarkStart w:id="284" w:name="_Toc12776"/>
      <w:bookmarkEnd w:id="284"/>
      <w:bookmarkStart w:id="285" w:name="_Toc144974538"/>
      <w:r>
        <w:rPr>
          <w:rFonts w:hint="eastAsia" w:ascii="黑体" w:hAnsi="黑体" w:eastAsia="黑体" w:cs="黑体"/>
          <w:color w:val="000000"/>
          <w:sz w:val="24"/>
          <w:szCs w:val="24"/>
          <w:highlight w:val="none"/>
        </w:rPr>
        <w:t>不计算在第8.5.</w:t>
      </w:r>
      <w:bookmarkEnd w:id="285"/>
      <w:r>
        <w:rPr>
          <w:rFonts w:hint="eastAsia" w:ascii="黑体" w:hAnsi="黑体" w:eastAsia="黑体" w:cs="黑体"/>
          <w:color w:val="000000"/>
          <w:sz w:val="24"/>
          <w:szCs w:val="24"/>
          <w:highlight w:val="none"/>
        </w:rPr>
        <w:t>1项规定的期限内。</w:t>
      </w:r>
    </w:p>
    <w:p w14:paraId="6FB4F7D6">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sz w:val="24"/>
          <w:szCs w:val="24"/>
          <w:highlight w:val="none"/>
        </w:rPr>
      </w:pPr>
      <w:bookmarkStart w:id="286" w:name="_Toc477134992"/>
      <w:bookmarkEnd w:id="286"/>
      <w:bookmarkStart w:id="287" w:name="_Toc5060"/>
      <w:bookmarkStart w:id="288" w:name="_Toc492300408"/>
      <w:r>
        <w:rPr>
          <w:rFonts w:hint="eastAsia" w:ascii="黑体" w:hAnsi="黑体" w:eastAsia="黑体" w:cs="黑体"/>
          <w:sz w:val="24"/>
          <w:szCs w:val="24"/>
          <w:highlight w:val="none"/>
        </w:rPr>
        <w:t>9</w:t>
      </w:r>
      <w:r>
        <w:rPr>
          <w:rFonts w:hint="eastAsia" w:ascii="黑体" w:hAnsi="黑体" w:eastAsia="黑体" w:cs="黑体"/>
          <w:b/>
          <w:bCs/>
          <w:sz w:val="24"/>
          <w:szCs w:val="24"/>
          <w:highlight w:val="none"/>
        </w:rPr>
        <w:t>. 电子招标投标</w:t>
      </w:r>
      <w:bookmarkEnd w:id="287"/>
      <w:bookmarkEnd w:id="288"/>
    </w:p>
    <w:p w14:paraId="71B523F5">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sz w:val="24"/>
          <w:szCs w:val="24"/>
          <w:highlight w:val="none"/>
        </w:rPr>
      </w:pPr>
      <w:bookmarkStart w:id="289" w:name="_Toc492300409"/>
      <w:bookmarkEnd w:id="289"/>
      <w:bookmarkStart w:id="290" w:name="_Toc6458"/>
      <w:r>
        <w:rPr>
          <w:rFonts w:hint="eastAsia" w:ascii="黑体" w:hAnsi="黑体" w:eastAsia="黑体" w:cs="黑体"/>
          <w:sz w:val="24"/>
          <w:szCs w:val="24"/>
          <w:highlight w:val="none"/>
        </w:rPr>
        <w:t>采用电子招标投标，对</w:t>
      </w:r>
      <w:r>
        <w:rPr>
          <w:rFonts w:hint="eastAsia" w:ascii="黑体" w:hAnsi="黑体" w:cs="黑体"/>
          <w:sz w:val="24"/>
          <w:szCs w:val="24"/>
          <w:highlight w:val="none"/>
          <w:lang w:eastAsia="zh-CN"/>
        </w:rPr>
        <w:t>投标</w:t>
      </w:r>
      <w:r>
        <w:rPr>
          <w:rFonts w:hint="eastAsia" w:ascii="黑体" w:hAnsi="黑体" w:eastAsia="黑体" w:cs="黑体"/>
          <w:sz w:val="24"/>
          <w:szCs w:val="24"/>
          <w:highlight w:val="none"/>
          <w:lang w:eastAsia="zh-CN"/>
        </w:rPr>
        <w:t>文件</w:t>
      </w:r>
      <w:r>
        <w:rPr>
          <w:rFonts w:hint="eastAsia" w:ascii="黑体" w:hAnsi="黑体" w:eastAsia="黑体" w:cs="黑体"/>
          <w:sz w:val="24"/>
          <w:szCs w:val="24"/>
          <w:highlight w:val="none"/>
        </w:rPr>
        <w:t>的编制、密封和标记、递交、开标、评标等具体要求，见</w:t>
      </w:r>
      <w:r>
        <w:rPr>
          <w:rFonts w:hint="eastAsia" w:ascii="黑体" w:hAnsi="黑体" w:cs="黑体"/>
          <w:sz w:val="24"/>
          <w:szCs w:val="24"/>
          <w:highlight w:val="none"/>
          <w:lang w:eastAsia="zh-CN"/>
        </w:rPr>
        <w:t>供应商</w:t>
      </w:r>
      <w:r>
        <w:rPr>
          <w:rFonts w:hint="eastAsia" w:ascii="黑体" w:hAnsi="黑体" w:eastAsia="黑体" w:cs="黑体"/>
          <w:sz w:val="24"/>
          <w:szCs w:val="24"/>
          <w:highlight w:val="none"/>
        </w:rPr>
        <w:t>须知前附表。</w:t>
      </w:r>
      <w:bookmarkEnd w:id="290"/>
    </w:p>
    <w:p w14:paraId="6E2AF644">
      <w:pPr>
        <w:pStyle w:val="4"/>
        <w:pageBreakBefore w:val="0"/>
        <w:numPr>
          <w:ilvl w:val="0"/>
          <w:numId w:val="0"/>
        </w:numPr>
        <w:kinsoku/>
        <w:wordWrap/>
        <w:overflowPunct/>
        <w:topLinePunct w:val="0"/>
        <w:autoSpaceDE/>
        <w:autoSpaceDN/>
        <w:bidi w:val="0"/>
        <w:spacing w:line="360" w:lineRule="auto"/>
        <w:ind w:left="0" w:firstLine="482" w:firstLineChars="200"/>
        <w:jc w:val="left"/>
        <w:textAlignment w:val="auto"/>
        <w:rPr>
          <w:rFonts w:hint="eastAsia" w:ascii="黑体" w:hAnsi="黑体" w:eastAsia="黑体" w:cs="黑体"/>
          <w:b/>
          <w:bCs/>
          <w:sz w:val="24"/>
          <w:szCs w:val="24"/>
          <w:highlight w:val="none"/>
        </w:rPr>
      </w:pPr>
      <w:bookmarkStart w:id="291" w:name="_Toc1229"/>
      <w:r>
        <w:rPr>
          <w:rFonts w:hint="eastAsia" w:ascii="黑体" w:hAnsi="黑体" w:eastAsia="黑体" w:cs="黑体"/>
          <w:b/>
          <w:bCs/>
          <w:sz w:val="24"/>
          <w:szCs w:val="24"/>
          <w:highlight w:val="none"/>
        </w:rPr>
        <w:t>10. 需要补充的其他内容</w:t>
      </w:r>
      <w:bookmarkEnd w:id="291"/>
    </w:p>
    <w:p w14:paraId="23F62EC1">
      <w:pPr>
        <w:pageBreakBefore w:val="0"/>
        <w:kinsoku/>
        <w:wordWrap/>
        <w:overflowPunct/>
        <w:topLinePunct w:val="0"/>
        <w:autoSpaceDE/>
        <w:autoSpaceDN/>
        <w:bidi w:val="0"/>
        <w:spacing w:line="360" w:lineRule="auto"/>
        <w:ind w:left="0" w:firstLine="480" w:firstLineChars="200"/>
        <w:jc w:val="left"/>
        <w:textAlignment w:val="auto"/>
        <w:rPr>
          <w:rFonts w:hint="eastAsia" w:ascii="黑体" w:hAnsi="黑体" w:eastAsia="黑体" w:cs="黑体"/>
          <w:color w:val="000000"/>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黑体" w:hAnsi="黑体" w:eastAsia="黑体" w:cs="黑体"/>
          <w:color w:val="000000"/>
          <w:sz w:val="24"/>
          <w:szCs w:val="24"/>
          <w:highlight w:val="none"/>
        </w:rPr>
        <w:t>需要补充的其他内容：见</w:t>
      </w:r>
      <w:r>
        <w:rPr>
          <w:rFonts w:hint="eastAsia" w:ascii="黑体" w:hAnsi="黑体" w:eastAsia="黑体" w:cs="黑体"/>
          <w:color w:val="000000"/>
          <w:sz w:val="24"/>
          <w:szCs w:val="24"/>
          <w:highlight w:val="none"/>
          <w:lang w:eastAsia="zh-CN"/>
        </w:rPr>
        <w:t>供应商</w:t>
      </w:r>
      <w:r>
        <w:rPr>
          <w:rFonts w:hint="eastAsia" w:ascii="黑体" w:hAnsi="黑体" w:eastAsia="黑体" w:cs="黑体"/>
          <w:color w:val="000000"/>
          <w:sz w:val="24"/>
          <w:szCs w:val="24"/>
          <w:highlight w:val="none"/>
        </w:rPr>
        <w:t>须知前附表。</w:t>
      </w:r>
    </w:p>
    <w:p w14:paraId="01F975D5">
      <w:pPr>
        <w:pStyle w:val="5"/>
        <w:ind w:firstLine="138"/>
        <w:rPr>
          <w:rFonts w:hint="eastAsia" w:ascii="黑体" w:hAnsi="黑体" w:eastAsia="黑体" w:cs="黑体"/>
          <w:b/>
          <w:bCs/>
          <w:sz w:val="24"/>
          <w:szCs w:val="24"/>
          <w:highlight w:val="none"/>
        </w:rPr>
      </w:pPr>
      <w:bookmarkStart w:id="292" w:name="_Toc300835002"/>
      <w:bookmarkStart w:id="293" w:name="_Toc31841"/>
      <w:r>
        <w:rPr>
          <w:rFonts w:hint="eastAsia" w:ascii="黑体" w:hAnsi="黑体" w:eastAsia="黑体" w:cs="黑体"/>
          <w:b/>
          <w:bCs/>
          <w:sz w:val="24"/>
          <w:szCs w:val="24"/>
          <w:highlight w:val="none"/>
        </w:rPr>
        <w:t>附件一：</w:t>
      </w:r>
      <w:bookmarkEnd w:id="292"/>
      <w:bookmarkStart w:id="294" w:name="_Toc144974549"/>
      <w:bookmarkEnd w:id="294"/>
      <w:bookmarkStart w:id="295" w:name="_Toc152045582"/>
      <w:bookmarkEnd w:id="295"/>
      <w:bookmarkStart w:id="296" w:name="_Toc247527607"/>
      <w:bookmarkEnd w:id="296"/>
      <w:bookmarkStart w:id="297" w:name="_Toc247514006"/>
      <w:bookmarkEnd w:id="297"/>
      <w:bookmarkStart w:id="298" w:name="_Toc152042359"/>
      <w:bookmarkEnd w:id="298"/>
      <w:bookmarkStart w:id="299" w:name="_Toc300835003"/>
      <w:bookmarkEnd w:id="299"/>
      <w:r>
        <w:rPr>
          <w:rFonts w:hint="eastAsia" w:ascii="黑体" w:hAnsi="黑体" w:eastAsia="黑体" w:cs="黑体"/>
          <w:b/>
          <w:bCs/>
          <w:sz w:val="24"/>
          <w:szCs w:val="24"/>
          <w:highlight w:val="none"/>
        </w:rPr>
        <w:t>问题澄清通知</w:t>
      </w:r>
      <w:bookmarkEnd w:id="293"/>
    </w:p>
    <w:p w14:paraId="1CCA7791">
      <w:pPr>
        <w:spacing w:line="440" w:lineRule="exact"/>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57B663A6">
      <w:pPr>
        <w:spacing w:line="440" w:lineRule="exact"/>
        <w:jc w:val="center"/>
        <w:rPr>
          <w:rFonts w:hint="eastAsia" w:ascii="黑体" w:hAnsi="黑体" w:eastAsia="黑体" w:cs="黑体"/>
          <w:sz w:val="24"/>
          <w:szCs w:val="24"/>
          <w:highlight w:val="none"/>
        </w:rPr>
      </w:pPr>
      <w:r>
        <w:rPr>
          <w:rFonts w:hint="eastAsia" w:ascii="黑体" w:hAnsi="黑体" w:eastAsia="黑体" w:cs="黑体"/>
          <w:sz w:val="24"/>
          <w:szCs w:val="24"/>
          <w:highlight w:val="none"/>
        </w:rPr>
        <w:t>问题澄清通知</w:t>
      </w:r>
    </w:p>
    <w:p w14:paraId="4B2383C1">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编号：</w:t>
      </w:r>
    </w:p>
    <w:p w14:paraId="3B71692A">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5645A77C">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供应商</w:t>
      </w:r>
      <w:r>
        <w:rPr>
          <w:rFonts w:hint="eastAsia" w:ascii="黑体" w:hAnsi="黑体" w:eastAsia="黑体" w:cs="黑体"/>
          <w:sz w:val="24"/>
          <w:szCs w:val="24"/>
          <w:highlight w:val="none"/>
        </w:rPr>
        <w:t>名称）：</w:t>
      </w:r>
    </w:p>
    <w:p w14:paraId="449F92B9">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20B19619">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（项目名称）招标的评标委员会，对你方的</w:t>
      </w:r>
      <w:r>
        <w:rPr>
          <w:rFonts w:hint="eastAsia" w:ascii="黑体" w:hAnsi="黑体" w:eastAsia="黑体" w:cs="黑体"/>
          <w:sz w:val="24"/>
          <w:szCs w:val="24"/>
          <w:highlight w:val="none"/>
          <w:lang w:val="en-US" w:eastAsia="zh-CN"/>
        </w:rPr>
        <w:t>投标</w:t>
      </w:r>
      <w:r>
        <w:rPr>
          <w:rFonts w:hint="eastAsia" w:ascii="黑体" w:hAnsi="黑体" w:eastAsia="黑体" w:cs="黑体"/>
          <w:sz w:val="24"/>
          <w:szCs w:val="24"/>
          <w:highlight w:val="none"/>
        </w:rPr>
        <w:t>文件进行了仔细的审查，现需你方对下列问题以书面形式予以澄清：</w:t>
      </w:r>
    </w:p>
    <w:p w14:paraId="3798E911">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038E020B">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1.</w:t>
      </w:r>
    </w:p>
    <w:p w14:paraId="0D666FE2">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2.</w:t>
      </w:r>
    </w:p>
    <w:p w14:paraId="609DC123">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   </w:t>
      </w:r>
    </w:p>
    <w:p w14:paraId="1777095A">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6C377A21">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请将上述问题的澄清于</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年</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月</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日</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时前递交至</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（详细地址）或传真至</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（传真号码）。采用传真方式的，应在</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年</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月</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日</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时前将原件递交至</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（详细地址）。</w:t>
      </w:r>
    </w:p>
    <w:p w14:paraId="6B80B450">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1A1F7072">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01CA706D">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评标委员会授权的</w:t>
      </w:r>
      <w:r>
        <w:rPr>
          <w:rFonts w:hint="eastAsia" w:ascii="黑体" w:hAnsi="黑体" w:eastAsia="黑体" w:cs="黑体"/>
          <w:sz w:val="24"/>
          <w:szCs w:val="24"/>
          <w:highlight w:val="none"/>
          <w:lang w:eastAsia="zh-CN"/>
        </w:rPr>
        <w:t>采购人</w:t>
      </w:r>
      <w:r>
        <w:rPr>
          <w:rFonts w:hint="eastAsia" w:ascii="黑体" w:hAnsi="黑体" w:eastAsia="黑体" w:cs="黑体"/>
          <w:sz w:val="24"/>
          <w:szCs w:val="24"/>
          <w:highlight w:val="none"/>
        </w:rPr>
        <w:t>或</w:t>
      </w:r>
      <w:r>
        <w:rPr>
          <w:rFonts w:hint="eastAsia" w:ascii="黑体" w:hAnsi="黑体" w:eastAsia="黑体" w:cs="黑体"/>
          <w:sz w:val="24"/>
          <w:szCs w:val="24"/>
          <w:highlight w:val="none"/>
          <w:lang w:eastAsia="zh-CN"/>
        </w:rPr>
        <w:t>采购代理机构</w:t>
      </w:r>
      <w:r>
        <w:rPr>
          <w:rFonts w:hint="eastAsia" w:ascii="黑体" w:hAnsi="黑体" w:eastAsia="黑体" w:cs="黑体"/>
          <w:sz w:val="24"/>
          <w:szCs w:val="24"/>
          <w:highlight w:val="none"/>
        </w:rPr>
        <w:t>：</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（签字或盖章）</w:t>
      </w:r>
    </w:p>
    <w:p w14:paraId="7EBA2E4E">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23E53545">
      <w:pPr>
        <w:spacing w:line="44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年</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月</w:t>
      </w:r>
      <w:r>
        <w:rPr>
          <w:rFonts w:hint="eastAsia" w:ascii="黑体" w:hAnsi="黑体" w:eastAsia="黑体" w:cs="黑体"/>
          <w:sz w:val="24"/>
          <w:szCs w:val="24"/>
          <w:highlight w:val="none"/>
          <w:u w:val="single"/>
        </w:rPr>
        <w:t xml:space="preserve">     </w:t>
      </w:r>
      <w:r>
        <w:rPr>
          <w:rFonts w:hint="eastAsia" w:ascii="黑体" w:hAnsi="黑体" w:eastAsia="黑体" w:cs="黑体"/>
          <w:sz w:val="24"/>
          <w:szCs w:val="24"/>
          <w:highlight w:val="none"/>
        </w:rPr>
        <w:t>日</w:t>
      </w:r>
    </w:p>
    <w:p w14:paraId="7134E5B4">
      <w:pPr>
        <w:spacing w:line="40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2161DB22">
      <w:pPr>
        <w:spacing w:line="400" w:lineRule="exact"/>
        <w:rPr>
          <w:rFonts w:hint="eastAsia" w:ascii="黑体" w:hAnsi="黑体" w:eastAsia="黑体" w:cs="黑体"/>
          <w:sz w:val="24"/>
          <w:szCs w:val="24"/>
          <w:highlight w:val="none"/>
        </w:rPr>
      </w:pPr>
      <w:r>
        <w:rPr>
          <w:rFonts w:hint="eastAsia" w:ascii="黑体" w:hAnsi="黑体" w:eastAsia="黑体" w:cs="黑体"/>
          <w:sz w:val="24"/>
          <w:szCs w:val="24"/>
          <w:highlight w:val="none"/>
        </w:rPr>
        <w:br w:type="page"/>
      </w:r>
    </w:p>
    <w:p w14:paraId="21CE7100">
      <w:pPr>
        <w:pStyle w:val="5"/>
        <w:ind w:firstLine="138"/>
        <w:rPr>
          <w:rFonts w:hint="eastAsia" w:ascii="黑体" w:hAnsi="黑体" w:eastAsia="黑体" w:cs="黑体"/>
          <w:b/>
          <w:bCs/>
          <w:highlight w:val="none"/>
        </w:rPr>
      </w:pPr>
      <w:bookmarkStart w:id="300" w:name="_Toc144974550"/>
      <w:bookmarkEnd w:id="300"/>
      <w:bookmarkStart w:id="301" w:name="_Toc152045583"/>
      <w:bookmarkEnd w:id="301"/>
      <w:bookmarkStart w:id="302" w:name="_Toc247527608"/>
      <w:bookmarkEnd w:id="302"/>
      <w:bookmarkStart w:id="303" w:name="_Toc152042360"/>
      <w:bookmarkEnd w:id="303"/>
      <w:bookmarkStart w:id="304" w:name="_Toc247514007"/>
      <w:bookmarkEnd w:id="304"/>
      <w:bookmarkStart w:id="305" w:name="_Toc300835004"/>
      <w:bookmarkStart w:id="306" w:name="_Toc7210"/>
      <w:r>
        <w:rPr>
          <w:rFonts w:hint="eastAsia" w:ascii="黑体" w:hAnsi="黑体" w:eastAsia="黑体" w:cs="黑体"/>
          <w:b/>
          <w:bCs/>
          <w:highlight w:val="none"/>
        </w:rPr>
        <w:t>附件二：问题的澄清</w:t>
      </w:r>
      <w:bookmarkEnd w:id="305"/>
      <w:bookmarkEnd w:id="306"/>
    </w:p>
    <w:p w14:paraId="478C5A92">
      <w:pPr>
        <w:spacing w:line="400" w:lineRule="exact"/>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 xml:space="preserve"> </w:t>
      </w:r>
    </w:p>
    <w:p w14:paraId="3C8DD9C3">
      <w:pPr>
        <w:spacing w:line="400" w:lineRule="exact"/>
        <w:jc w:val="center"/>
        <w:rPr>
          <w:rFonts w:hint="eastAsia" w:ascii="黑体" w:hAnsi="黑体" w:eastAsia="黑体" w:cs="黑体"/>
          <w:sz w:val="21"/>
          <w:szCs w:val="21"/>
          <w:highlight w:val="none"/>
        </w:rPr>
      </w:pPr>
      <w:r>
        <w:rPr>
          <w:rFonts w:hint="eastAsia" w:ascii="黑体" w:hAnsi="黑体" w:eastAsia="黑体" w:cs="黑体"/>
          <w:sz w:val="21"/>
          <w:szCs w:val="21"/>
          <w:highlight w:val="none"/>
        </w:rPr>
        <w:t>问题的澄清</w:t>
      </w:r>
    </w:p>
    <w:p w14:paraId="0532724A">
      <w:pPr>
        <w:spacing w:line="400" w:lineRule="exact"/>
        <w:ind w:firstLine="3465" w:firstLineChars="1650"/>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编号： </w:t>
      </w:r>
    </w:p>
    <w:p w14:paraId="1051133D">
      <w:pPr>
        <w:spacing w:line="40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2CCA800A">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（项目名称）招标评标委员会：</w:t>
      </w:r>
    </w:p>
    <w:p w14:paraId="2D345E25">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697582DB">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问题澄清通知（编号：</w:t>
      </w: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）已收悉，现澄清如下：</w:t>
      </w:r>
    </w:p>
    <w:p w14:paraId="73018057">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1.</w:t>
      </w:r>
    </w:p>
    <w:p w14:paraId="3346800F">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2.</w:t>
      </w:r>
    </w:p>
    <w:p w14:paraId="54057573">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072B30D4">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278AB9B6">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3D681E42">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1DE101FA">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459D979F">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45B55FAC">
      <w:pPr>
        <w:spacing w:line="440" w:lineRule="exac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780ECFE4">
      <w:pPr>
        <w:spacing w:line="440" w:lineRule="exact"/>
        <w:jc w:val="righ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r>
        <w:rPr>
          <w:rFonts w:hint="eastAsia" w:ascii="黑体" w:hAnsi="黑体" w:eastAsia="黑体" w:cs="黑体"/>
          <w:sz w:val="21"/>
          <w:szCs w:val="21"/>
          <w:highlight w:val="none"/>
          <w:lang w:eastAsia="zh-CN"/>
        </w:rPr>
        <w:t>供应商</w:t>
      </w:r>
      <w:r>
        <w:rPr>
          <w:rFonts w:hint="eastAsia" w:ascii="黑体" w:hAnsi="黑体" w:eastAsia="黑体" w:cs="黑体"/>
          <w:sz w:val="21"/>
          <w:szCs w:val="21"/>
          <w:highlight w:val="none"/>
        </w:rPr>
        <w:t>：</w:t>
      </w: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（盖单位章）</w:t>
      </w:r>
    </w:p>
    <w:p w14:paraId="3734C857">
      <w:pPr>
        <w:spacing w:line="440" w:lineRule="exact"/>
        <w:jc w:val="righ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419311E6">
      <w:pPr>
        <w:spacing w:line="440" w:lineRule="exact"/>
        <w:jc w:val="righ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法定代表人或其委托代理人：</w:t>
      </w: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（签字）</w:t>
      </w:r>
    </w:p>
    <w:p w14:paraId="730F45D1">
      <w:pPr>
        <w:spacing w:line="440" w:lineRule="exact"/>
        <w:jc w:val="righ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p>
    <w:p w14:paraId="3762699E">
      <w:pPr>
        <w:spacing w:line="440" w:lineRule="exact"/>
        <w:jc w:val="right"/>
        <w:rPr>
          <w:rFonts w:hint="eastAsia" w:ascii="黑体" w:hAnsi="黑体" w:eastAsia="黑体" w:cs="黑体"/>
          <w:sz w:val="21"/>
          <w:szCs w:val="21"/>
          <w:highlight w:val="none"/>
        </w:rPr>
      </w:pPr>
      <w:r>
        <w:rPr>
          <w:rFonts w:hint="eastAsia" w:ascii="黑体" w:hAnsi="黑体" w:eastAsia="黑体" w:cs="黑体"/>
          <w:sz w:val="21"/>
          <w:szCs w:val="21"/>
          <w:highlight w:val="none"/>
        </w:rPr>
        <w:t xml:space="preserve">                       </w:t>
      </w: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年</w:t>
      </w: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月</w:t>
      </w:r>
      <w:r>
        <w:rPr>
          <w:rFonts w:hint="eastAsia" w:ascii="黑体" w:hAnsi="黑体" w:eastAsia="黑体" w:cs="黑体"/>
          <w:sz w:val="21"/>
          <w:szCs w:val="21"/>
          <w:highlight w:val="none"/>
          <w:u w:val="single"/>
        </w:rPr>
        <w:t xml:space="preserve">     </w:t>
      </w:r>
      <w:r>
        <w:rPr>
          <w:rFonts w:hint="eastAsia" w:ascii="黑体" w:hAnsi="黑体" w:eastAsia="黑体" w:cs="黑体"/>
          <w:sz w:val="21"/>
          <w:szCs w:val="21"/>
          <w:highlight w:val="none"/>
        </w:rPr>
        <w:t>日</w:t>
      </w:r>
    </w:p>
    <w:p w14:paraId="18029812">
      <w:pPr>
        <w:spacing w:line="400" w:lineRule="exact"/>
        <w:rPr>
          <w:rFonts w:hint="eastAsia" w:ascii="黑体" w:hAnsi="黑体" w:eastAsia="黑体" w:cs="黑体"/>
          <w:b w:val="0"/>
          <w:sz w:val="21"/>
          <w:szCs w:val="21"/>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E8C4EA4">
      <w:pPr>
        <w:pStyle w:val="3"/>
        <w:bidi w:val="0"/>
        <w:rPr>
          <w:rFonts w:hint="eastAsia" w:ascii="黑体" w:hAnsi="黑体" w:eastAsia="黑体" w:cs="黑体"/>
          <w:lang w:eastAsia="zh-CN"/>
        </w:rPr>
      </w:pPr>
      <w:bookmarkStart w:id="307" w:name="_Toc18674"/>
      <w:r>
        <w:rPr>
          <w:rFonts w:hint="eastAsia" w:ascii="黑体" w:hAnsi="黑体" w:eastAsia="黑体" w:cs="黑体"/>
        </w:rPr>
        <w:t>第</w:t>
      </w:r>
      <w:r>
        <w:rPr>
          <w:rFonts w:hint="eastAsia" w:ascii="黑体" w:hAnsi="黑体" w:eastAsia="黑体" w:cs="黑体"/>
          <w:lang w:eastAsia="zh-CN"/>
        </w:rPr>
        <w:t>三</w:t>
      </w:r>
      <w:r>
        <w:rPr>
          <w:rFonts w:hint="eastAsia" w:ascii="黑体" w:hAnsi="黑体" w:eastAsia="黑体" w:cs="黑体"/>
        </w:rPr>
        <w:t xml:space="preserve">章  </w:t>
      </w:r>
      <w:r>
        <w:rPr>
          <w:rFonts w:hint="eastAsia" w:ascii="黑体" w:hAnsi="黑体" w:eastAsia="黑体" w:cs="黑体"/>
          <w:lang w:eastAsia="zh-CN"/>
        </w:rPr>
        <w:t>合同文件格式</w:t>
      </w:r>
      <w:bookmarkEnd w:id="4"/>
      <w:bookmarkEnd w:id="307"/>
    </w:p>
    <w:p w14:paraId="712B4ECA">
      <w:pPr>
        <w:pStyle w:val="3"/>
        <w:numPr>
          <w:ilvl w:val="0"/>
          <w:numId w:val="0"/>
        </w:numPr>
        <w:bidi w:val="0"/>
        <w:ind w:right="0" w:rightChars="0" w:firstLine="4216" w:firstLineChars="1500"/>
        <w:jc w:val="both"/>
        <w:rPr>
          <w:rFonts w:hint="default" w:ascii="黑体" w:hAnsi="黑体" w:eastAsia="黑体" w:cs="黑体"/>
          <w:sz w:val="28"/>
          <w:szCs w:val="28"/>
          <w:lang w:val="en-US" w:eastAsia="zh-CN"/>
        </w:rPr>
      </w:pPr>
      <w:bookmarkStart w:id="308" w:name="_Toc32545"/>
      <w:bookmarkStart w:id="309" w:name="_Toc11490"/>
      <w:r>
        <w:rPr>
          <w:rFonts w:hint="eastAsia" w:ascii="黑体" w:hAnsi="黑体" w:eastAsia="黑体" w:cs="黑体"/>
          <w:sz w:val="28"/>
          <w:szCs w:val="28"/>
          <w:lang w:val="en-US" w:eastAsia="zh-CN"/>
        </w:rPr>
        <w:t>(仅供参考）</w:t>
      </w:r>
      <w:bookmarkEnd w:id="308"/>
      <w:bookmarkEnd w:id="309"/>
    </w:p>
    <w:p w14:paraId="69988C25">
      <w:pPr>
        <w:rPr>
          <w:rFonts w:hint="eastAsia" w:ascii="黑体" w:hAnsi="黑体" w:eastAsia="黑体" w:cs="黑体"/>
          <w:sz w:val="24"/>
          <w:szCs w:val="24"/>
          <w:lang w:val="en-US" w:eastAsia="zh-CN"/>
        </w:rPr>
      </w:pPr>
    </w:p>
    <w:p w14:paraId="7CBC1952">
      <w:pPr>
        <w:rPr>
          <w:rFonts w:hint="eastAsia" w:ascii="黑体" w:eastAsia="黑体"/>
          <w:b/>
          <w:sz w:val="28"/>
        </w:rPr>
      </w:pPr>
      <w:r>
        <w:rPr>
          <w:rFonts w:hint="eastAsia" w:ascii="黑体" w:eastAsia="黑体"/>
          <w:b/>
          <w:sz w:val="28"/>
        </w:rPr>
        <w:br w:type="page"/>
      </w:r>
    </w:p>
    <w:p w14:paraId="5E21D9CA">
      <w:pPr>
        <w:wordWrap w:val="0"/>
        <w:spacing w:line="360" w:lineRule="auto"/>
        <w:ind w:firstLine="801" w:firstLineChars="285"/>
        <w:jc w:val="right"/>
        <w:rPr>
          <w:rFonts w:hint="eastAsia" w:ascii="黑体" w:eastAsia="黑体"/>
          <w:b/>
          <w:sz w:val="28"/>
        </w:rPr>
      </w:pPr>
      <w:bookmarkStart w:id="310" w:name="_Toc10251"/>
    </w:p>
    <w:p w14:paraId="25B6619D">
      <w:pPr>
        <w:wordWrap w:val="0"/>
        <w:spacing w:line="360" w:lineRule="auto"/>
        <w:ind w:firstLine="801" w:firstLineChars="285"/>
        <w:jc w:val="right"/>
        <w:rPr>
          <w:rFonts w:hint="eastAsia" w:ascii="黑体" w:hAnsi="黑体" w:eastAsia="黑体"/>
          <w:sz w:val="28"/>
        </w:rPr>
      </w:pPr>
      <w:r>
        <w:rPr>
          <w:rFonts w:hint="eastAsia" w:ascii="黑体" w:eastAsia="黑体"/>
          <w:b/>
          <w:sz w:val="28"/>
        </w:rPr>
        <w:t>合同编号：WHZC     H（   ）号</w:t>
      </w:r>
    </w:p>
    <w:p w14:paraId="184E074B">
      <w:pPr>
        <w:spacing w:line="360" w:lineRule="auto"/>
        <w:jc w:val="center"/>
        <w:rPr>
          <w:rFonts w:hint="eastAsia" w:ascii="黑体" w:eastAsia="黑体"/>
          <w:b/>
          <w:sz w:val="52"/>
        </w:rPr>
      </w:pPr>
    </w:p>
    <w:p w14:paraId="240EFE76">
      <w:pPr>
        <w:spacing w:line="360" w:lineRule="auto"/>
        <w:jc w:val="center"/>
        <w:rPr>
          <w:rFonts w:hint="eastAsia" w:ascii="黑体" w:eastAsia="黑体"/>
          <w:b/>
          <w:sz w:val="52"/>
        </w:rPr>
      </w:pPr>
      <w:r>
        <w:rPr>
          <w:rFonts w:hint="eastAsia" w:ascii="黑体" w:eastAsia="黑体"/>
          <w:b/>
          <w:sz w:val="52"/>
        </w:rPr>
        <w:t xml:space="preserve">乌海市政府采购 </w:t>
      </w:r>
    </w:p>
    <w:p w14:paraId="4C432A03">
      <w:pPr>
        <w:spacing w:line="360" w:lineRule="auto"/>
        <w:jc w:val="center"/>
        <w:rPr>
          <w:rFonts w:hint="eastAsia" w:ascii="黑体" w:eastAsia="黑体"/>
          <w:b/>
          <w:sz w:val="52"/>
        </w:rPr>
      </w:pPr>
    </w:p>
    <w:p w14:paraId="281CF03A">
      <w:pPr>
        <w:spacing w:line="360" w:lineRule="auto"/>
        <w:jc w:val="center"/>
        <w:rPr>
          <w:rFonts w:hint="eastAsia" w:ascii="黑体" w:eastAsia="黑体"/>
          <w:b/>
          <w:sz w:val="52"/>
        </w:rPr>
      </w:pPr>
      <w:r>
        <w:rPr>
          <w:rFonts w:hint="eastAsia" w:ascii="黑体" w:eastAsia="黑体"/>
          <w:b/>
          <w:sz w:val="52"/>
        </w:rPr>
        <w:t>货  物  采  购  合  同</w:t>
      </w:r>
    </w:p>
    <w:p w14:paraId="78C63E4A">
      <w:pPr>
        <w:spacing w:line="360" w:lineRule="auto"/>
        <w:ind w:firstLine="912" w:firstLineChars="285"/>
        <w:jc w:val="center"/>
        <w:rPr>
          <w:rFonts w:hint="eastAsia" w:ascii="黑体" w:hAnsi="黑体" w:eastAsia="黑体"/>
          <w:sz w:val="32"/>
        </w:rPr>
      </w:pPr>
    </w:p>
    <w:p w14:paraId="4CAC5544">
      <w:pPr>
        <w:spacing w:line="360" w:lineRule="auto"/>
        <w:ind w:left="0"/>
        <w:jc w:val="center"/>
        <w:rPr>
          <w:rFonts w:hint="eastAsia" w:ascii="黑体" w:hAnsi="黑体" w:eastAsia="黑体"/>
          <w:sz w:val="32"/>
        </w:rPr>
      </w:pPr>
      <w:r>
        <w:rPr>
          <w:rFonts w:hint="eastAsia" w:ascii="黑体" w:hAnsi="黑体" w:eastAsia="黑体"/>
          <w:sz w:val="32"/>
        </w:rPr>
        <w:t xml:space="preserve">  </w:t>
      </w:r>
    </w:p>
    <w:p w14:paraId="301B5700">
      <w:pPr>
        <w:spacing w:line="360" w:lineRule="auto"/>
        <w:ind w:left="0"/>
        <w:jc w:val="center"/>
        <w:rPr>
          <w:rFonts w:hint="eastAsia" w:ascii="黑体" w:hAnsi="黑体" w:eastAsia="黑体"/>
          <w:b/>
          <w:sz w:val="44"/>
        </w:rPr>
      </w:pPr>
    </w:p>
    <w:p w14:paraId="112F5A48">
      <w:pPr>
        <w:spacing w:line="360" w:lineRule="auto"/>
        <w:ind w:left="0"/>
        <w:jc w:val="center"/>
        <w:rPr>
          <w:rFonts w:hint="eastAsia" w:ascii="黑体" w:hAnsi="黑体" w:eastAsia="黑体"/>
          <w:b/>
          <w:sz w:val="44"/>
        </w:rPr>
      </w:pPr>
    </w:p>
    <w:p w14:paraId="4FB51791">
      <w:pPr>
        <w:spacing w:line="360" w:lineRule="auto"/>
        <w:ind w:left="0"/>
        <w:jc w:val="center"/>
        <w:rPr>
          <w:rFonts w:hint="eastAsia" w:ascii="黑体" w:hAnsi="黑体" w:eastAsia="黑体"/>
          <w:b/>
          <w:sz w:val="44"/>
        </w:rPr>
      </w:pPr>
    </w:p>
    <w:p w14:paraId="117386F2">
      <w:pPr>
        <w:spacing w:line="360" w:lineRule="auto"/>
        <w:ind w:left="0"/>
        <w:jc w:val="center"/>
        <w:rPr>
          <w:rFonts w:hint="eastAsia" w:ascii="黑体" w:hAnsi="黑体" w:eastAsia="黑体"/>
          <w:b/>
          <w:sz w:val="44"/>
        </w:rPr>
      </w:pPr>
    </w:p>
    <w:p w14:paraId="03AD95AA">
      <w:pPr>
        <w:spacing w:line="360" w:lineRule="auto"/>
        <w:ind w:left="0"/>
        <w:jc w:val="center"/>
        <w:rPr>
          <w:rFonts w:hint="eastAsia" w:ascii="黑体" w:hAnsi="黑体" w:eastAsia="黑体"/>
          <w:b/>
          <w:sz w:val="44"/>
        </w:rPr>
      </w:pPr>
    </w:p>
    <w:p w14:paraId="64A4650B">
      <w:pPr>
        <w:spacing w:line="360" w:lineRule="auto"/>
        <w:ind w:left="0"/>
        <w:jc w:val="center"/>
        <w:rPr>
          <w:rFonts w:hint="eastAsia" w:ascii="黑体" w:hAnsi="黑体" w:eastAsia="黑体"/>
          <w:b/>
          <w:sz w:val="44"/>
        </w:rPr>
      </w:pPr>
    </w:p>
    <w:p w14:paraId="416FE958">
      <w:pPr>
        <w:spacing w:line="360" w:lineRule="auto"/>
        <w:ind w:left="0"/>
        <w:jc w:val="center"/>
        <w:rPr>
          <w:rFonts w:hint="eastAsia" w:ascii="黑体" w:hAnsi="黑体" w:eastAsia="黑体"/>
          <w:b/>
          <w:sz w:val="44"/>
        </w:rPr>
      </w:pPr>
    </w:p>
    <w:p w14:paraId="2B2737F1">
      <w:pPr>
        <w:spacing w:line="360" w:lineRule="auto"/>
        <w:ind w:left="0"/>
        <w:jc w:val="left"/>
        <w:rPr>
          <w:rFonts w:hint="eastAsia" w:ascii="黑体" w:hAnsi="黑体" w:eastAsia="黑体"/>
          <w:b/>
          <w:sz w:val="36"/>
          <w:u w:val="single"/>
        </w:rPr>
      </w:pPr>
      <w:r>
        <w:rPr>
          <w:rFonts w:hint="eastAsia" w:ascii="黑体" w:hAnsi="黑体" w:eastAsia="黑体"/>
          <w:b/>
          <w:sz w:val="44"/>
        </w:rPr>
        <w:t xml:space="preserve">    </w:t>
      </w:r>
      <w:r>
        <w:rPr>
          <w:rFonts w:hint="eastAsia" w:ascii="黑体" w:hAnsi="黑体" w:eastAsia="黑体"/>
          <w:b/>
          <w:sz w:val="44"/>
          <w:lang w:val="en-US" w:eastAsia="zh-CN"/>
        </w:rPr>
        <w:t xml:space="preserve">          </w:t>
      </w:r>
      <w:r>
        <w:rPr>
          <w:rFonts w:hint="eastAsia" w:ascii="黑体" w:hAnsi="黑体" w:eastAsia="黑体"/>
          <w:b/>
          <w:sz w:val="44"/>
        </w:rPr>
        <w:t>项目名称：</w:t>
      </w:r>
      <w:r>
        <w:rPr>
          <w:rFonts w:hint="eastAsia" w:ascii="黑体" w:hAnsi="黑体" w:eastAsia="黑体"/>
          <w:b/>
          <w:sz w:val="36"/>
          <w:u w:val="single"/>
        </w:rPr>
        <w:t xml:space="preserve"> </w:t>
      </w:r>
      <w:r>
        <w:rPr>
          <w:rFonts w:hint="eastAsia" w:ascii="黑体" w:hAnsi="仿宋_GB2312" w:eastAsia="黑体"/>
          <w:sz w:val="36"/>
          <w:u w:val="single"/>
        </w:rPr>
        <w:t xml:space="preserve">                          </w:t>
      </w:r>
      <w:r>
        <w:rPr>
          <w:rFonts w:hint="eastAsia" w:ascii="黑体" w:hAnsi="黑体" w:eastAsia="黑体"/>
          <w:b/>
          <w:sz w:val="36"/>
          <w:u w:val="single"/>
        </w:rPr>
        <w:t xml:space="preserve">  </w:t>
      </w:r>
    </w:p>
    <w:p w14:paraId="2A897D92">
      <w:pPr>
        <w:spacing w:line="360" w:lineRule="auto"/>
        <w:ind w:firstLine="372" w:firstLineChars="285"/>
        <w:jc w:val="center"/>
        <w:rPr>
          <w:rFonts w:hint="eastAsia" w:ascii="仿宋_GB2312" w:hAnsi="仿宋_GB2312" w:eastAsia="仿宋_GB2312"/>
          <w:b/>
          <w:sz w:val="13"/>
        </w:rPr>
      </w:pPr>
    </w:p>
    <w:p w14:paraId="482DE7E9">
      <w:pPr>
        <w:rPr>
          <w:rFonts w:hint="eastAsia" w:ascii="黑体" w:eastAsia="黑体"/>
          <w:b/>
          <w:sz w:val="44"/>
        </w:rPr>
      </w:pPr>
      <w:r>
        <w:rPr>
          <w:rFonts w:hint="eastAsia" w:ascii="黑体" w:eastAsia="黑体"/>
          <w:b/>
          <w:sz w:val="44"/>
        </w:rPr>
        <w:br w:type="page"/>
      </w:r>
    </w:p>
    <w:p w14:paraId="5935FA52">
      <w:pPr>
        <w:spacing w:line="20" w:lineRule="atLeast"/>
        <w:jc w:val="center"/>
        <w:rPr>
          <w:rFonts w:hint="eastAsia" w:ascii="黑体" w:eastAsia="黑体"/>
          <w:b/>
          <w:sz w:val="44"/>
        </w:rPr>
      </w:pPr>
      <w:r>
        <w:rPr>
          <w:rFonts w:hint="eastAsia" w:ascii="黑体" w:eastAsia="黑体"/>
          <w:b/>
          <w:sz w:val="44"/>
        </w:rPr>
        <w:t>货物类采购合同</w:t>
      </w:r>
    </w:p>
    <w:p w14:paraId="1DF8B21E">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480" w:firstLineChars="200"/>
        <w:textAlignment w:val="auto"/>
        <w:rPr>
          <w:rFonts w:hint="eastAsia" w:ascii="黑体" w:hAnsi="黑体" w:eastAsia="黑体" w:cs="黑体"/>
          <w:b/>
          <w:sz w:val="24"/>
          <w:szCs w:val="24"/>
          <w:u w:val="none"/>
        </w:rPr>
      </w:pPr>
      <w:r>
        <w:rPr>
          <w:rFonts w:hint="eastAsia" w:ascii="黑体" w:hAnsi="黑体" w:eastAsia="黑体" w:cs="黑体"/>
          <w:sz w:val="24"/>
          <w:szCs w:val="24"/>
        </w:rPr>
        <w:t>项目名称：</w:t>
      </w:r>
      <w:r>
        <w:rPr>
          <w:rFonts w:hint="eastAsia" w:ascii="黑体" w:hAnsi="黑体" w:eastAsia="黑体" w:cs="黑体"/>
          <w:sz w:val="24"/>
          <w:szCs w:val="24"/>
          <w:u w:val="single"/>
        </w:rPr>
        <w:t xml:space="preserve">           </w:t>
      </w:r>
      <w:r>
        <w:rPr>
          <w:rFonts w:hint="eastAsia" w:ascii="黑体" w:hAnsi="黑体" w:eastAsia="黑体" w:cs="黑体"/>
          <w:b/>
          <w:sz w:val="24"/>
          <w:szCs w:val="24"/>
          <w:u w:val="single"/>
        </w:rPr>
        <w:t xml:space="preserve">                              </w:t>
      </w:r>
      <w:r>
        <w:rPr>
          <w:rFonts w:hint="eastAsia" w:ascii="黑体" w:hAnsi="黑体" w:eastAsia="黑体" w:cs="黑体"/>
          <w:b/>
          <w:sz w:val="24"/>
          <w:szCs w:val="24"/>
          <w:u w:val="none"/>
        </w:rPr>
        <w:t xml:space="preserve">                            </w:t>
      </w:r>
    </w:p>
    <w:p w14:paraId="289DD889">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b/>
          <w:sz w:val="24"/>
          <w:szCs w:val="24"/>
        </w:rPr>
      </w:pPr>
      <w:r>
        <w:rPr>
          <w:rFonts w:hint="eastAsia" w:ascii="黑体" w:hAnsi="黑体" w:eastAsia="黑体" w:cs="黑体"/>
          <w:sz w:val="24"/>
          <w:szCs w:val="24"/>
        </w:rPr>
        <w:t>采购人：</w:t>
      </w:r>
      <w:r>
        <w:rPr>
          <w:rFonts w:hint="eastAsia" w:ascii="黑体" w:hAnsi="黑体" w:eastAsia="黑体" w:cs="黑体"/>
          <w:b/>
          <w:sz w:val="24"/>
          <w:szCs w:val="24"/>
          <w:u w:val="single"/>
        </w:rPr>
        <w:t xml:space="preserve">                              </w:t>
      </w:r>
      <w:r>
        <w:rPr>
          <w:rFonts w:hint="eastAsia" w:ascii="黑体" w:hAnsi="黑体" w:eastAsia="黑体" w:cs="黑体"/>
          <w:b/>
          <w:sz w:val="24"/>
          <w:szCs w:val="24"/>
        </w:rPr>
        <w:t>（下称甲方）</w:t>
      </w:r>
    </w:p>
    <w:p w14:paraId="52123554">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供应商：</w:t>
      </w:r>
      <w:r>
        <w:rPr>
          <w:rFonts w:hint="eastAsia" w:ascii="黑体" w:hAnsi="黑体" w:eastAsia="黑体" w:cs="黑体"/>
          <w:b/>
          <w:sz w:val="24"/>
          <w:szCs w:val="24"/>
          <w:u w:val="single"/>
        </w:rPr>
        <w:t xml:space="preserve">                              </w:t>
      </w:r>
      <w:r>
        <w:rPr>
          <w:rFonts w:hint="eastAsia" w:ascii="黑体" w:hAnsi="黑体" w:eastAsia="黑体" w:cs="黑体"/>
          <w:b/>
          <w:sz w:val="24"/>
          <w:szCs w:val="24"/>
        </w:rPr>
        <w:t>（下称乙方）</w:t>
      </w:r>
    </w:p>
    <w:p w14:paraId="36F19B02">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b/>
          <w:sz w:val="24"/>
          <w:szCs w:val="24"/>
        </w:rPr>
      </w:pPr>
      <w:r>
        <w:rPr>
          <w:rFonts w:hint="eastAsia" w:ascii="黑体" w:hAnsi="黑体" w:eastAsia="黑体" w:cs="黑体"/>
          <w:sz w:val="24"/>
          <w:szCs w:val="24"/>
        </w:rPr>
        <w:t>合同签定地：</w:t>
      </w:r>
      <w:r>
        <w:rPr>
          <w:rFonts w:hint="eastAsia" w:ascii="黑体" w:hAnsi="黑体" w:eastAsia="黑体" w:cs="黑体"/>
          <w:sz w:val="24"/>
          <w:szCs w:val="24"/>
          <w:u w:val="single"/>
        </w:rPr>
        <w:t xml:space="preserve">            </w:t>
      </w:r>
      <w:r>
        <w:rPr>
          <w:rFonts w:hint="eastAsia" w:ascii="黑体" w:hAnsi="黑体" w:eastAsia="黑体" w:cs="黑体"/>
          <w:sz w:val="24"/>
          <w:szCs w:val="24"/>
          <w:u w:val="single"/>
          <w:lang w:val="en-US" w:eastAsia="zh-CN"/>
        </w:rPr>
        <w:t xml:space="preserve">              </w:t>
      </w:r>
      <w:r>
        <w:rPr>
          <w:rFonts w:hint="eastAsia" w:ascii="黑体" w:hAnsi="黑体" w:eastAsia="黑体" w:cs="黑体"/>
          <w:b/>
          <w:sz w:val="24"/>
          <w:szCs w:val="24"/>
        </w:rPr>
        <w:t xml:space="preserve"> </w:t>
      </w:r>
    </w:p>
    <w:p w14:paraId="0099E8F9">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为了保护供需双方合法权益，根据《中华人民共和国政府采购法》、《中华人民共和国</w:t>
      </w:r>
      <w:r>
        <w:rPr>
          <w:rFonts w:hint="eastAsia" w:ascii="黑体" w:hAnsi="黑体" w:eastAsia="黑体" w:cs="黑体"/>
          <w:sz w:val="24"/>
          <w:szCs w:val="24"/>
          <w:lang w:val="en-US" w:eastAsia="zh-CN"/>
        </w:rPr>
        <w:t>民法典</w:t>
      </w:r>
      <w:r>
        <w:rPr>
          <w:rFonts w:hint="eastAsia" w:ascii="黑体" w:hAnsi="黑体" w:eastAsia="黑体" w:cs="黑体"/>
          <w:sz w:val="24"/>
          <w:szCs w:val="24"/>
        </w:rPr>
        <w:t>》等相关法律法规的规定，严格遵循采购程序及相关采购文件规定，由集中采购机构和采购人共同与供应商签定本合同并共同遵守。</w:t>
      </w:r>
    </w:p>
    <w:p w14:paraId="39018BDC">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542" w:firstLineChars="225"/>
        <w:jc w:val="left"/>
        <w:textAlignment w:val="auto"/>
        <w:rPr>
          <w:rFonts w:hint="eastAsia" w:ascii="黑体" w:hAnsi="黑体" w:eastAsia="黑体" w:cs="黑体"/>
          <w:sz w:val="24"/>
          <w:szCs w:val="24"/>
        </w:rPr>
      </w:pPr>
      <w:r>
        <w:rPr>
          <w:rFonts w:hint="eastAsia" w:ascii="黑体" w:hAnsi="黑体" w:eastAsia="黑体" w:cs="黑体"/>
          <w:b/>
          <w:sz w:val="24"/>
          <w:szCs w:val="24"/>
        </w:rPr>
        <w:t>一、资金来源</w:t>
      </w:r>
      <w:r>
        <w:rPr>
          <w:rFonts w:hint="eastAsia" w:ascii="黑体" w:hAnsi="黑体" w:eastAsia="黑体" w:cs="黑体"/>
          <w:sz w:val="24"/>
          <w:szCs w:val="24"/>
        </w:rPr>
        <w:t>：</w:t>
      </w:r>
      <w:r>
        <w:rPr>
          <w:rFonts w:hint="eastAsia" w:ascii="黑体" w:hAnsi="黑体" w:eastAsia="黑体" w:cs="黑体"/>
          <w:sz w:val="24"/>
          <w:szCs w:val="24"/>
          <w:u w:val="single"/>
        </w:rPr>
        <w:t xml:space="preserve">         </w:t>
      </w:r>
      <w:r>
        <w:rPr>
          <w:rFonts w:hint="eastAsia" w:ascii="黑体" w:hAnsi="黑体" w:eastAsia="黑体" w:cs="黑体"/>
          <w:sz w:val="24"/>
          <w:szCs w:val="24"/>
        </w:rPr>
        <w:t xml:space="preserve">。     </w:t>
      </w:r>
      <w:r>
        <w:rPr>
          <w:rFonts w:hint="eastAsia" w:ascii="黑体" w:hAnsi="黑体" w:eastAsia="黑体" w:cs="黑体"/>
          <w:b/>
          <w:sz w:val="24"/>
          <w:szCs w:val="24"/>
        </w:rPr>
        <w:t>付款方式</w:t>
      </w:r>
      <w:r>
        <w:rPr>
          <w:rFonts w:hint="eastAsia" w:ascii="黑体" w:hAnsi="黑体" w:eastAsia="黑体" w:cs="黑体"/>
          <w:sz w:val="24"/>
          <w:szCs w:val="24"/>
        </w:rPr>
        <w:t>：</w:t>
      </w:r>
      <w:r>
        <w:rPr>
          <w:rFonts w:hint="eastAsia" w:ascii="黑体" w:hAnsi="黑体" w:eastAsia="黑体" w:cs="黑体"/>
          <w:sz w:val="24"/>
          <w:szCs w:val="24"/>
          <w:u w:val="single"/>
        </w:rPr>
        <w:t xml:space="preserve">            </w:t>
      </w:r>
      <w:r>
        <w:rPr>
          <w:rFonts w:hint="eastAsia" w:ascii="黑体" w:hAnsi="黑体" w:eastAsia="黑体" w:cs="黑体"/>
          <w:sz w:val="24"/>
          <w:szCs w:val="24"/>
        </w:rPr>
        <w:t>。</w:t>
      </w:r>
    </w:p>
    <w:p w14:paraId="512DDFFB">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542" w:firstLineChars="225"/>
        <w:jc w:val="left"/>
        <w:textAlignment w:val="auto"/>
        <w:rPr>
          <w:rFonts w:hint="eastAsia" w:ascii="黑体" w:hAnsi="黑体" w:eastAsia="黑体" w:cs="黑体"/>
          <w:sz w:val="24"/>
          <w:szCs w:val="24"/>
        </w:rPr>
      </w:pPr>
      <w:r>
        <w:rPr>
          <w:rFonts w:hint="eastAsia" w:ascii="黑体" w:hAnsi="黑体" w:eastAsia="黑体" w:cs="黑体"/>
          <w:b/>
          <w:sz w:val="24"/>
          <w:szCs w:val="24"/>
        </w:rPr>
        <w:t>二、采购产品名称、型号、颜色、数量、金额：（具体明细详见附件一合同清单）</w:t>
      </w:r>
    </w:p>
    <w:p w14:paraId="701DA209">
      <w:pPr>
        <w:pStyle w:val="16"/>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textAlignment w:val="auto"/>
        <w:rPr>
          <w:rFonts w:hint="eastAsia" w:ascii="黑体" w:hAnsi="黑体" w:eastAsia="黑体" w:cs="黑体"/>
          <w:sz w:val="24"/>
          <w:szCs w:val="24"/>
          <w:u w:val="single"/>
        </w:rPr>
      </w:pPr>
      <w:r>
        <w:rPr>
          <w:rFonts w:hint="eastAsia" w:ascii="黑体" w:hAnsi="黑体" w:eastAsia="黑体" w:cs="黑体"/>
          <w:sz w:val="24"/>
          <w:szCs w:val="24"/>
        </w:rPr>
        <w:t>合同总额：人民币</w:t>
      </w:r>
      <w:r>
        <w:rPr>
          <w:rFonts w:hint="eastAsia" w:ascii="黑体" w:hAnsi="黑体" w:eastAsia="黑体" w:cs="黑体"/>
          <w:b/>
          <w:sz w:val="24"/>
          <w:szCs w:val="24"/>
          <w:u w:val="single"/>
        </w:rPr>
        <w:t xml:space="preserve">                     </w:t>
      </w:r>
      <w:r>
        <w:rPr>
          <w:rFonts w:hint="eastAsia" w:ascii="黑体" w:hAnsi="黑体" w:eastAsia="黑体" w:cs="黑体"/>
          <w:sz w:val="24"/>
          <w:szCs w:val="24"/>
        </w:rPr>
        <w:t xml:space="preserve"> RMB：</w:t>
      </w:r>
      <w:r>
        <w:rPr>
          <w:rFonts w:hint="eastAsia" w:ascii="黑体" w:hAnsi="黑体" w:eastAsia="黑体" w:cs="黑体"/>
          <w:b/>
          <w:sz w:val="24"/>
          <w:szCs w:val="24"/>
          <w:u w:val="single"/>
        </w:rPr>
        <w:t xml:space="preserve">            </w:t>
      </w:r>
    </w:p>
    <w:p w14:paraId="7F1C1757">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三、合同的组成</w:t>
      </w:r>
    </w:p>
    <w:p w14:paraId="5EB941AF">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600" w:firstLineChars="250"/>
        <w:jc w:val="left"/>
        <w:textAlignment w:val="auto"/>
        <w:rPr>
          <w:rFonts w:hint="eastAsia" w:ascii="黑体" w:hAnsi="黑体" w:eastAsia="黑体" w:cs="黑体"/>
          <w:sz w:val="24"/>
          <w:szCs w:val="24"/>
        </w:rPr>
      </w:pPr>
      <w:r>
        <w:rPr>
          <w:rFonts w:hint="eastAsia" w:ascii="黑体" w:hAnsi="黑体" w:eastAsia="黑体" w:cs="黑体"/>
          <w:sz w:val="24"/>
          <w:szCs w:val="24"/>
        </w:rPr>
        <w:t>3.1  下列文件应作为本合同的组成部分：</w:t>
      </w:r>
    </w:p>
    <w:p w14:paraId="642B8BDE">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3.1.1 本合同条款；</w:t>
      </w:r>
    </w:p>
    <w:p w14:paraId="3BBC35A5">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3.1.2供应商合同清单（附件1）；</w:t>
      </w:r>
    </w:p>
    <w:p w14:paraId="0D9186C7">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3.1.3供应商履约承诺（附件2）；</w:t>
      </w:r>
    </w:p>
    <w:p w14:paraId="1D4558AC">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3.1.4成交通知书</w:t>
      </w:r>
    </w:p>
    <w:p w14:paraId="620DDEB4">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3.1.5形成合同的其他有关文件</w:t>
      </w:r>
    </w:p>
    <w:p w14:paraId="7043BCF8">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600" w:firstLineChars="250"/>
        <w:textAlignment w:val="auto"/>
        <w:rPr>
          <w:rFonts w:hint="eastAsia" w:ascii="黑体" w:hAnsi="黑体" w:eastAsia="黑体" w:cs="黑体"/>
          <w:sz w:val="24"/>
          <w:szCs w:val="24"/>
        </w:rPr>
      </w:pPr>
      <w:r>
        <w:rPr>
          <w:rFonts w:hint="eastAsia" w:ascii="黑体" w:hAnsi="黑体" w:eastAsia="黑体" w:cs="黑体"/>
          <w:sz w:val="24"/>
          <w:szCs w:val="24"/>
        </w:rPr>
        <w:t>3.2  上述文件互为补充和解释，如有不清或相互矛盾之处，以所列顺序在前的为准，但甲、乙双方有特别约定的除外。</w:t>
      </w:r>
    </w:p>
    <w:p w14:paraId="7162E233">
      <w:pPr>
        <w:keepNext w:val="0"/>
        <w:keepLines w:val="0"/>
        <w:pageBreakBefore w:val="0"/>
        <w:numPr>
          <w:ilvl w:val="0"/>
          <w:numId w:val="2"/>
        </w:numPr>
        <w:kinsoku/>
        <w:wordWrap/>
        <w:overflowPunct/>
        <w:topLinePunct w:val="0"/>
        <w:autoSpaceDE/>
        <w:autoSpaceDN/>
        <w:bidi w:val="0"/>
        <w:adjustRightInd/>
        <w:snapToGrid/>
        <w:spacing w:before="100" w:beforeAutospacing="1" w:after="100" w:afterAutospacing="1" w:line="400" w:lineRule="exact"/>
        <w:ind w:left="0" w:firstLine="472" w:firstLineChars="196"/>
        <w:textAlignment w:val="auto"/>
        <w:rPr>
          <w:rFonts w:hint="eastAsia" w:ascii="黑体" w:hAnsi="黑体" w:eastAsia="黑体" w:cs="黑体"/>
          <w:b/>
          <w:sz w:val="24"/>
          <w:szCs w:val="24"/>
        </w:rPr>
      </w:pPr>
      <w:r>
        <w:rPr>
          <w:rFonts w:hint="eastAsia" w:ascii="黑体" w:hAnsi="黑体" w:eastAsia="黑体" w:cs="黑体"/>
          <w:b/>
          <w:sz w:val="24"/>
          <w:szCs w:val="24"/>
        </w:rPr>
        <w:t>产品质量保证及售后服务承诺：</w:t>
      </w:r>
    </w:p>
    <w:p w14:paraId="485E6936">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textAlignment w:val="auto"/>
        <w:rPr>
          <w:rFonts w:hint="eastAsia" w:ascii="黑体" w:hAnsi="黑体" w:eastAsia="黑体" w:cs="黑体"/>
          <w:b/>
          <w:sz w:val="24"/>
          <w:szCs w:val="24"/>
          <w:u w:val="single"/>
        </w:rPr>
      </w:pPr>
      <w:r>
        <w:rPr>
          <w:rFonts w:hint="eastAsia" w:ascii="黑体" w:hAnsi="黑体" w:eastAsia="黑体" w:cs="黑体"/>
          <w:b/>
          <w:sz w:val="24"/>
          <w:szCs w:val="24"/>
        </w:rPr>
        <w:t xml:space="preserve">   产品质量保证承诺: </w:t>
      </w:r>
      <w:r>
        <w:rPr>
          <w:rFonts w:hint="eastAsia" w:ascii="黑体" w:hAnsi="黑体" w:eastAsia="黑体" w:cs="黑体"/>
          <w:b/>
          <w:sz w:val="24"/>
          <w:szCs w:val="24"/>
          <w:u w:val="single"/>
        </w:rPr>
        <w:t xml:space="preserve">                                        </w:t>
      </w:r>
    </w:p>
    <w:p w14:paraId="51CA7D1C">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textAlignment w:val="auto"/>
        <w:rPr>
          <w:rFonts w:hint="eastAsia" w:ascii="黑体" w:hAnsi="黑体" w:eastAsia="黑体" w:cs="黑体"/>
          <w:b/>
          <w:sz w:val="24"/>
          <w:szCs w:val="24"/>
          <w:u w:val="single"/>
        </w:rPr>
      </w:pPr>
      <w:r>
        <w:rPr>
          <w:rFonts w:hint="eastAsia" w:ascii="黑体" w:hAnsi="黑体" w:eastAsia="黑体" w:cs="黑体"/>
          <w:b/>
          <w:sz w:val="24"/>
          <w:szCs w:val="24"/>
          <w:u w:val="single"/>
        </w:rPr>
        <w:t xml:space="preserve">                                                          </w:t>
      </w:r>
    </w:p>
    <w:p w14:paraId="6079A337">
      <w:pPr>
        <w:keepNext w:val="0"/>
        <w:keepLines w:val="0"/>
        <w:pageBreakBefore w:val="0"/>
        <w:kinsoku/>
        <w:wordWrap/>
        <w:overflowPunct/>
        <w:topLinePunct w:val="0"/>
        <w:autoSpaceDE/>
        <w:autoSpaceDN/>
        <w:bidi w:val="0"/>
        <w:adjustRightInd/>
        <w:snapToGrid/>
        <w:spacing w:before="100" w:beforeAutospacing="1" w:after="100" w:afterAutospacing="1" w:line="400" w:lineRule="exact"/>
        <w:textAlignment w:val="auto"/>
        <w:rPr>
          <w:rFonts w:hint="eastAsia" w:ascii="黑体" w:hAnsi="黑体" w:eastAsia="黑体" w:cs="黑体"/>
          <w:b/>
          <w:sz w:val="24"/>
          <w:szCs w:val="24"/>
          <w:u w:val="single"/>
        </w:rPr>
      </w:pPr>
      <w:r>
        <w:rPr>
          <w:rFonts w:hint="eastAsia" w:ascii="黑体" w:hAnsi="黑体" w:eastAsia="黑体" w:cs="黑体"/>
          <w:sz w:val="24"/>
          <w:szCs w:val="24"/>
        </w:rPr>
        <w:t xml:space="preserve">   </w:t>
      </w:r>
      <w:r>
        <w:rPr>
          <w:rFonts w:hint="eastAsia" w:ascii="黑体" w:hAnsi="黑体" w:eastAsia="黑体" w:cs="黑体"/>
          <w:b/>
          <w:sz w:val="24"/>
          <w:szCs w:val="24"/>
        </w:rPr>
        <w:t>售后服务承诺：</w:t>
      </w:r>
      <w:r>
        <w:rPr>
          <w:rFonts w:hint="eastAsia" w:ascii="黑体" w:hAnsi="黑体" w:eastAsia="黑体" w:cs="黑体"/>
          <w:b/>
          <w:sz w:val="24"/>
          <w:szCs w:val="24"/>
          <w:u w:val="single"/>
        </w:rPr>
        <w:t xml:space="preserve">                                       </w:t>
      </w:r>
      <w:r>
        <w:rPr>
          <w:rFonts w:hint="eastAsia" w:ascii="黑体" w:hAnsi="黑体" w:eastAsia="黑体" w:cs="黑体"/>
          <w:b/>
          <w:sz w:val="24"/>
          <w:szCs w:val="24"/>
        </w:rPr>
        <w:t xml:space="preserve"> </w:t>
      </w:r>
      <w:r>
        <w:rPr>
          <w:rFonts w:hint="eastAsia" w:ascii="黑体" w:hAnsi="黑体" w:eastAsia="黑体" w:cs="黑体"/>
          <w:b/>
          <w:sz w:val="24"/>
          <w:szCs w:val="24"/>
          <w:u w:val="single"/>
        </w:rPr>
        <w:t xml:space="preserve">                                             </w:t>
      </w:r>
    </w:p>
    <w:p w14:paraId="06239ECF">
      <w:pPr>
        <w:keepNext w:val="0"/>
        <w:keepLines w:val="0"/>
        <w:pageBreakBefore w:val="0"/>
        <w:kinsoku/>
        <w:wordWrap/>
        <w:overflowPunct/>
        <w:topLinePunct w:val="0"/>
        <w:autoSpaceDE/>
        <w:autoSpaceDN/>
        <w:bidi w:val="0"/>
        <w:adjustRightInd/>
        <w:snapToGrid/>
        <w:spacing w:before="100" w:beforeAutospacing="1" w:after="100" w:afterAutospacing="1" w:line="400" w:lineRule="exact"/>
        <w:textAlignment w:val="auto"/>
        <w:rPr>
          <w:rFonts w:hint="eastAsia" w:ascii="黑体" w:hAnsi="黑体" w:eastAsia="黑体" w:cs="黑体"/>
          <w:b/>
          <w:sz w:val="24"/>
          <w:szCs w:val="24"/>
        </w:rPr>
      </w:pPr>
      <w:r>
        <w:rPr>
          <w:rFonts w:hint="eastAsia" w:ascii="黑体" w:hAnsi="黑体" w:eastAsia="黑体" w:cs="黑体"/>
          <w:b/>
          <w:sz w:val="24"/>
          <w:szCs w:val="24"/>
        </w:rPr>
        <w:t xml:space="preserve">   五、交货及安装调试时间、地点、方式：</w:t>
      </w:r>
    </w:p>
    <w:p w14:paraId="5B236859">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660" w:firstLineChars="275"/>
        <w:textAlignment w:val="auto"/>
        <w:rPr>
          <w:rFonts w:hint="eastAsia" w:ascii="黑体" w:hAnsi="黑体" w:eastAsia="黑体" w:cs="黑体"/>
          <w:sz w:val="24"/>
          <w:szCs w:val="24"/>
        </w:rPr>
      </w:pPr>
      <w:r>
        <w:rPr>
          <w:rFonts w:hint="eastAsia" w:ascii="黑体" w:hAnsi="黑体" w:eastAsia="黑体" w:cs="黑体"/>
          <w:sz w:val="24"/>
          <w:szCs w:val="24"/>
        </w:rPr>
        <w:t>5.1合同签定后</w:t>
      </w:r>
      <w:r>
        <w:rPr>
          <w:rFonts w:hint="eastAsia" w:ascii="黑体" w:hAnsi="黑体" w:eastAsia="黑体" w:cs="黑体"/>
          <w:b/>
          <w:sz w:val="24"/>
          <w:szCs w:val="24"/>
          <w:u w:val="single"/>
        </w:rPr>
        <w:t xml:space="preserve">      </w:t>
      </w:r>
      <w:r>
        <w:rPr>
          <w:rFonts w:hint="eastAsia" w:ascii="黑体" w:hAnsi="黑体" w:eastAsia="黑体" w:cs="黑体"/>
          <w:sz w:val="24"/>
          <w:szCs w:val="24"/>
        </w:rPr>
        <w:t>内将产品送</w:t>
      </w:r>
      <w:r>
        <w:rPr>
          <w:rFonts w:hint="eastAsia" w:ascii="黑体" w:hAnsi="黑体" w:eastAsia="黑体" w:cs="黑体"/>
          <w:sz w:val="24"/>
          <w:szCs w:val="24"/>
          <w:lang w:eastAsia="zh-CN"/>
        </w:rPr>
        <w:t>乌海市</w:t>
      </w:r>
      <w:r>
        <w:rPr>
          <w:rFonts w:hint="eastAsia" w:ascii="黑体" w:hAnsi="黑体" w:eastAsia="黑体" w:cs="黑体"/>
          <w:sz w:val="24"/>
          <w:szCs w:val="24"/>
        </w:rPr>
        <w:t>并安装调试完毕。</w:t>
      </w:r>
    </w:p>
    <w:p w14:paraId="39A07F85">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5.2供应商交货及安装计划详见供应商承诺有关内容。</w:t>
      </w:r>
    </w:p>
    <w:p w14:paraId="7D36301F">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5.3运输、保险和装卸费用由供应商承担。</w:t>
      </w:r>
    </w:p>
    <w:p w14:paraId="77F78468">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sz w:val="24"/>
          <w:szCs w:val="24"/>
        </w:rPr>
      </w:pPr>
      <w:r>
        <w:rPr>
          <w:rFonts w:hint="eastAsia" w:ascii="黑体" w:hAnsi="黑体" w:eastAsia="黑体" w:cs="黑体"/>
          <w:b/>
          <w:sz w:val="24"/>
          <w:szCs w:val="24"/>
        </w:rPr>
        <w:t>六、产品验收标准及提出异议截止时间：</w:t>
      </w:r>
    </w:p>
    <w:p w14:paraId="177CCCD1">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textAlignment w:val="auto"/>
        <w:rPr>
          <w:rFonts w:hint="eastAsia" w:ascii="黑体" w:hAnsi="黑体" w:eastAsia="黑体" w:cs="黑体"/>
          <w:sz w:val="24"/>
          <w:szCs w:val="24"/>
        </w:rPr>
      </w:pPr>
      <w:r>
        <w:rPr>
          <w:rFonts w:hint="eastAsia" w:ascii="黑体" w:hAnsi="黑体" w:eastAsia="黑体" w:cs="黑体"/>
          <w:sz w:val="24"/>
          <w:szCs w:val="24"/>
        </w:rPr>
        <w:t>6.1产品至指定地点时，甲方即应接收，同时妥善保管全部产品；</w:t>
      </w:r>
    </w:p>
    <w:p w14:paraId="5E9D6182">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textAlignment w:val="auto"/>
        <w:rPr>
          <w:rFonts w:hint="eastAsia" w:ascii="黑体" w:hAnsi="黑体" w:eastAsia="黑体" w:cs="黑体"/>
          <w:sz w:val="24"/>
          <w:szCs w:val="24"/>
        </w:rPr>
      </w:pPr>
      <w:r>
        <w:rPr>
          <w:rFonts w:hint="eastAsia" w:ascii="黑体" w:hAnsi="黑体" w:eastAsia="黑体" w:cs="黑体"/>
          <w:sz w:val="24"/>
          <w:szCs w:val="24"/>
        </w:rPr>
        <w:t>6.2合同中产品安装、调试完毕后进行验收，验收期限自安装、 调试完毕次日起不超过10日，逾期不验收，视为验收合格。如产品安装、调试完毕后甲方未验收或未提出书面异议，即视为验收合格；</w:t>
      </w:r>
    </w:p>
    <w:p w14:paraId="19A4FF3E">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textAlignment w:val="auto"/>
        <w:rPr>
          <w:rFonts w:hint="eastAsia" w:ascii="黑体" w:hAnsi="黑体" w:eastAsia="黑体" w:cs="黑体"/>
          <w:sz w:val="24"/>
          <w:szCs w:val="24"/>
        </w:rPr>
      </w:pPr>
      <w:r>
        <w:rPr>
          <w:rFonts w:hint="eastAsia" w:ascii="黑体" w:hAnsi="黑体" w:eastAsia="黑体" w:cs="黑体"/>
          <w:sz w:val="24"/>
          <w:szCs w:val="24"/>
        </w:rPr>
        <w:t>6.3验收期内发现不合格的产品，甲方应立即提出书面异议，列明不合格的项目、数量及处理建议，对于经检测不合格的产品，乙方应视产品情况即时予以修、换处理。</w:t>
      </w:r>
    </w:p>
    <w:p w14:paraId="18889F32">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6.4验收标准：符合国家标准且按照采购文件要求验收，由采购人组织相关部门验收。</w:t>
      </w:r>
    </w:p>
    <w:p w14:paraId="7335C9ED">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6.5提出异议截止时间：10日内。</w:t>
      </w:r>
    </w:p>
    <w:p w14:paraId="06ED690A">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472" w:firstLineChars="196"/>
        <w:jc w:val="left"/>
        <w:textAlignment w:val="auto"/>
        <w:rPr>
          <w:rFonts w:hint="eastAsia" w:ascii="黑体" w:hAnsi="黑体" w:eastAsia="黑体" w:cs="黑体"/>
          <w:b/>
          <w:sz w:val="24"/>
          <w:szCs w:val="24"/>
        </w:rPr>
      </w:pPr>
      <w:r>
        <w:rPr>
          <w:rFonts w:hint="eastAsia" w:ascii="黑体" w:hAnsi="黑体" w:eastAsia="黑体" w:cs="黑体"/>
          <w:b/>
          <w:sz w:val="24"/>
          <w:szCs w:val="24"/>
        </w:rPr>
        <w:t>七、货款支付及期限：</w:t>
      </w:r>
    </w:p>
    <w:p w14:paraId="74AF676C">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88" w:firstLineChars="245"/>
        <w:jc w:val="left"/>
        <w:textAlignment w:val="auto"/>
        <w:rPr>
          <w:rFonts w:hint="eastAsia" w:ascii="黑体" w:hAnsi="黑体" w:eastAsia="黑体" w:cs="黑体"/>
          <w:sz w:val="24"/>
          <w:szCs w:val="24"/>
        </w:rPr>
      </w:pPr>
      <w:r>
        <w:rPr>
          <w:rFonts w:hint="eastAsia" w:ascii="黑体" w:hAnsi="黑体" w:eastAsia="黑体" w:cs="黑体"/>
          <w:sz w:val="24"/>
          <w:szCs w:val="24"/>
        </w:rPr>
        <w:t>7.1合同签定后,在产品全部出厂装车前，甲方支付总货款的</w:t>
      </w:r>
      <w:r>
        <w:rPr>
          <w:rFonts w:hint="eastAsia" w:ascii="黑体" w:hAnsi="黑体" w:eastAsia="黑体" w:cs="黑体"/>
          <w:b/>
          <w:sz w:val="24"/>
          <w:szCs w:val="24"/>
          <w:u w:val="single"/>
        </w:rPr>
        <w:t xml:space="preserve">     </w:t>
      </w:r>
      <w:r>
        <w:rPr>
          <w:rFonts w:hint="eastAsia" w:ascii="黑体" w:hAnsi="黑体" w:eastAsia="黑体" w:cs="黑体"/>
          <w:sz w:val="24"/>
          <w:szCs w:val="24"/>
        </w:rPr>
        <w:t>；货到现场安装经验收完毕后甲方支付总货款的</w:t>
      </w:r>
      <w:r>
        <w:rPr>
          <w:rFonts w:hint="eastAsia" w:ascii="黑体" w:hAnsi="黑体" w:eastAsia="黑体" w:cs="黑体"/>
          <w:b/>
          <w:sz w:val="24"/>
          <w:szCs w:val="24"/>
          <w:u w:val="single"/>
        </w:rPr>
        <w:t xml:space="preserve">    </w:t>
      </w:r>
      <w:r>
        <w:rPr>
          <w:rFonts w:hint="eastAsia" w:ascii="黑体" w:hAnsi="黑体" w:eastAsia="黑体" w:cs="黑体"/>
          <w:sz w:val="24"/>
          <w:szCs w:val="24"/>
        </w:rPr>
        <w:t>；留总货款的</w:t>
      </w:r>
      <w:r>
        <w:rPr>
          <w:rFonts w:hint="eastAsia" w:ascii="黑体" w:hAnsi="黑体" w:eastAsia="黑体" w:cs="黑体"/>
          <w:b/>
          <w:sz w:val="24"/>
          <w:szCs w:val="24"/>
          <w:u w:val="single"/>
        </w:rPr>
        <w:t xml:space="preserve">     </w:t>
      </w:r>
      <w:r>
        <w:rPr>
          <w:rFonts w:hint="eastAsia" w:ascii="黑体" w:hAnsi="黑体" w:eastAsia="黑体" w:cs="黑体"/>
          <w:sz w:val="24"/>
          <w:szCs w:val="24"/>
        </w:rPr>
        <w:t>作为质保金，待甲方正常使用后</w:t>
      </w:r>
      <w:r>
        <w:rPr>
          <w:rFonts w:hint="eastAsia" w:ascii="黑体" w:hAnsi="黑体" w:eastAsia="黑体" w:cs="黑体"/>
          <w:sz w:val="24"/>
          <w:szCs w:val="24"/>
          <w:u w:val="single"/>
        </w:rPr>
        <w:t xml:space="preserve">      </w:t>
      </w:r>
      <w:r>
        <w:rPr>
          <w:rFonts w:hint="eastAsia" w:ascii="黑体" w:hAnsi="黑体" w:eastAsia="黑体" w:cs="黑体"/>
          <w:sz w:val="24"/>
          <w:szCs w:val="24"/>
        </w:rPr>
        <w:t xml:space="preserve">内付清剩余货款。 </w:t>
      </w:r>
    </w:p>
    <w:p w14:paraId="6C7DE10B">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470" w:firstLineChars="196"/>
        <w:jc w:val="left"/>
        <w:textAlignment w:val="auto"/>
        <w:rPr>
          <w:rFonts w:hint="eastAsia" w:ascii="黑体" w:hAnsi="黑体" w:eastAsia="黑体" w:cs="黑体"/>
          <w:sz w:val="24"/>
          <w:szCs w:val="24"/>
        </w:rPr>
      </w:pPr>
      <w:r>
        <w:rPr>
          <w:rFonts w:hint="eastAsia" w:ascii="黑体" w:hAnsi="黑体" w:eastAsia="黑体" w:cs="黑体"/>
          <w:sz w:val="24"/>
          <w:szCs w:val="24"/>
        </w:rPr>
        <w:t>7.2甲方须于合同签定后按时付款，否则交货期顺延；</w:t>
      </w:r>
    </w:p>
    <w:p w14:paraId="5E7DB690">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480" w:firstLineChars="200"/>
        <w:textAlignment w:val="auto"/>
        <w:rPr>
          <w:rFonts w:hint="eastAsia" w:ascii="黑体" w:hAnsi="黑体" w:eastAsia="黑体" w:cs="黑体"/>
          <w:sz w:val="24"/>
          <w:szCs w:val="24"/>
        </w:rPr>
      </w:pPr>
      <w:r>
        <w:rPr>
          <w:rFonts w:hint="eastAsia" w:ascii="黑体" w:hAnsi="黑体" w:eastAsia="黑体" w:cs="黑体"/>
          <w:sz w:val="24"/>
          <w:szCs w:val="24"/>
        </w:rPr>
        <w:t>7.3甲方完全付清货款之时，即为产品所有权转移之时。</w:t>
      </w:r>
    </w:p>
    <w:p w14:paraId="6098BB3D">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480" w:firstLineChars="200"/>
        <w:textAlignment w:val="auto"/>
        <w:rPr>
          <w:rFonts w:hint="eastAsia" w:ascii="黑体" w:hAnsi="黑体" w:eastAsia="黑体" w:cs="黑体"/>
          <w:sz w:val="24"/>
          <w:szCs w:val="24"/>
        </w:rPr>
      </w:pPr>
      <w:r>
        <w:rPr>
          <w:rFonts w:hint="eastAsia" w:ascii="黑体" w:hAnsi="黑体" w:eastAsia="黑体" w:cs="黑体"/>
          <w:sz w:val="24"/>
          <w:szCs w:val="24"/>
        </w:rPr>
        <w:t>7.4最终金额按实际交货数量结算，增减产品价格按合同内单项价格，但甲方减少定购须在乙方下单生产之前以书面形式提出。</w:t>
      </w:r>
    </w:p>
    <w:p w14:paraId="0D169DC5">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u w:val="single"/>
        </w:rPr>
      </w:pPr>
      <w:r>
        <w:rPr>
          <w:rFonts w:hint="eastAsia" w:ascii="黑体" w:hAnsi="黑体" w:eastAsia="黑体" w:cs="黑体"/>
          <w:sz w:val="24"/>
          <w:szCs w:val="24"/>
        </w:rPr>
        <w:t>7.5补充说明：</w:t>
      </w:r>
      <w:r>
        <w:rPr>
          <w:rFonts w:hint="eastAsia" w:ascii="黑体" w:hAnsi="黑体" w:eastAsia="黑体" w:cs="黑体"/>
          <w:sz w:val="24"/>
          <w:szCs w:val="24"/>
          <w:u w:val="single"/>
        </w:rPr>
        <w:t xml:space="preserve">                                     </w:t>
      </w:r>
    </w:p>
    <w:p w14:paraId="1327AAD0">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u w:val="single"/>
        </w:rPr>
      </w:pPr>
      <w:r>
        <w:rPr>
          <w:rFonts w:hint="eastAsia" w:ascii="黑体" w:hAnsi="黑体" w:eastAsia="黑体" w:cs="黑体"/>
          <w:sz w:val="24"/>
          <w:szCs w:val="24"/>
          <w:u w:val="single"/>
        </w:rPr>
        <w:t xml:space="preserve">                                                   。</w:t>
      </w:r>
    </w:p>
    <w:p w14:paraId="5B6B2557">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b/>
          <w:sz w:val="24"/>
          <w:szCs w:val="24"/>
          <w:u w:val="single"/>
        </w:rPr>
      </w:pPr>
      <w:r>
        <w:rPr>
          <w:rFonts w:hint="eastAsia" w:ascii="黑体" w:hAnsi="黑体" w:eastAsia="黑体" w:cs="黑体"/>
          <w:sz w:val="24"/>
          <w:szCs w:val="24"/>
        </w:rPr>
        <w:t>供应商名称：</w:t>
      </w:r>
      <w:r>
        <w:rPr>
          <w:rFonts w:hint="eastAsia" w:ascii="黑体" w:hAnsi="黑体" w:eastAsia="黑体" w:cs="黑体"/>
          <w:sz w:val="24"/>
          <w:szCs w:val="24"/>
          <w:u w:val="single"/>
        </w:rPr>
        <w:t xml:space="preserve">                                                   </w:t>
      </w:r>
      <w:r>
        <w:rPr>
          <w:rFonts w:hint="eastAsia" w:ascii="黑体" w:hAnsi="黑体" w:eastAsia="黑体" w:cs="黑体"/>
          <w:b/>
          <w:sz w:val="24"/>
          <w:szCs w:val="24"/>
          <w:u w:val="single"/>
        </w:rPr>
        <w:t xml:space="preserve">                   </w:t>
      </w:r>
    </w:p>
    <w:p w14:paraId="2B12390E">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b/>
          <w:sz w:val="24"/>
          <w:szCs w:val="24"/>
          <w:u w:val="single"/>
        </w:rPr>
      </w:pPr>
      <w:r>
        <w:rPr>
          <w:rFonts w:hint="eastAsia" w:ascii="黑体" w:hAnsi="黑体" w:eastAsia="黑体" w:cs="黑体"/>
          <w:sz w:val="24"/>
          <w:szCs w:val="24"/>
        </w:rPr>
        <w:t>开  户  行：</w:t>
      </w:r>
      <w:r>
        <w:rPr>
          <w:rFonts w:hint="eastAsia" w:ascii="黑体" w:hAnsi="黑体" w:eastAsia="黑体" w:cs="黑体"/>
          <w:b/>
          <w:sz w:val="24"/>
          <w:szCs w:val="24"/>
          <w:u w:val="single"/>
        </w:rPr>
        <w:t xml:space="preserve">                            </w:t>
      </w:r>
    </w:p>
    <w:p w14:paraId="49561991">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u w:val="single"/>
        </w:rPr>
      </w:pPr>
      <w:r>
        <w:rPr>
          <w:rFonts w:hint="eastAsia" w:ascii="黑体" w:hAnsi="黑体" w:eastAsia="黑体" w:cs="黑体"/>
          <w:sz w:val="24"/>
          <w:szCs w:val="24"/>
        </w:rPr>
        <w:t>帐　　　户：</w:t>
      </w:r>
      <w:r>
        <w:rPr>
          <w:rFonts w:hint="eastAsia" w:ascii="黑体" w:hAnsi="黑体" w:eastAsia="黑体" w:cs="黑体"/>
          <w:b/>
          <w:sz w:val="24"/>
          <w:szCs w:val="24"/>
          <w:u w:val="single"/>
        </w:rPr>
        <w:t xml:space="preserve">                            </w:t>
      </w:r>
    </w:p>
    <w:p w14:paraId="71222305">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2" w:firstLineChars="200"/>
        <w:jc w:val="left"/>
        <w:textAlignment w:val="auto"/>
        <w:rPr>
          <w:rFonts w:hint="eastAsia" w:ascii="黑体" w:hAnsi="黑体" w:eastAsia="黑体" w:cs="黑体"/>
          <w:b/>
          <w:sz w:val="24"/>
          <w:szCs w:val="24"/>
        </w:rPr>
      </w:pPr>
      <w:r>
        <w:rPr>
          <w:rFonts w:hint="eastAsia" w:ascii="黑体" w:hAnsi="黑体" w:eastAsia="黑体" w:cs="黑体"/>
          <w:b/>
          <w:sz w:val="24"/>
          <w:szCs w:val="24"/>
        </w:rPr>
        <w:t>八、违约责任</w:t>
      </w:r>
    </w:p>
    <w:p w14:paraId="512E7D72">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乙方对所提供的服务与合同要求不符负有责任。若乙方有下列情形之一，甲方有权扣除相应的履约保证金作为违约金：</w:t>
      </w:r>
    </w:p>
    <w:p w14:paraId="5AF610F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 乙方向用户提供的</w:t>
      </w:r>
      <w:r>
        <w:rPr>
          <w:rFonts w:hint="eastAsia" w:ascii="黑体" w:hAnsi="黑体" w:eastAsia="黑体" w:cs="黑体"/>
          <w:color w:val="000000"/>
          <w:sz w:val="24"/>
          <w:szCs w:val="24"/>
        </w:rPr>
        <w:fldChar w:fldCharType="begin"/>
      </w:r>
      <w:r>
        <w:rPr>
          <w:rFonts w:hint="eastAsia" w:ascii="黑体" w:hAnsi="黑体" w:eastAsia="黑体" w:cs="黑体"/>
          <w:color w:val="000000"/>
          <w:sz w:val="24"/>
          <w:szCs w:val="24"/>
        </w:rPr>
        <w:instrText xml:space="preserve"> HYPERLINK "http://www.zycg.gov.cn/jiaju/index.asp" \t "_blank" </w:instrText>
      </w:r>
      <w:r>
        <w:rPr>
          <w:rFonts w:hint="eastAsia" w:ascii="黑体" w:hAnsi="黑体" w:eastAsia="黑体" w:cs="黑体"/>
          <w:color w:val="000000"/>
          <w:sz w:val="24"/>
          <w:szCs w:val="24"/>
        </w:rPr>
        <w:fldChar w:fldCharType="separate"/>
      </w:r>
      <w:r>
        <w:rPr>
          <w:rFonts w:hint="eastAsia" w:ascii="黑体" w:hAnsi="黑体" w:eastAsia="黑体" w:cs="黑体"/>
          <w:color w:val="000000"/>
          <w:sz w:val="24"/>
          <w:szCs w:val="24"/>
        </w:rPr>
        <w:t>产品</w:t>
      </w:r>
      <w:r>
        <w:rPr>
          <w:rFonts w:hint="eastAsia" w:ascii="黑体" w:hAnsi="黑体" w:eastAsia="黑体" w:cs="黑体"/>
          <w:color w:val="000000"/>
          <w:sz w:val="24"/>
          <w:szCs w:val="24"/>
        </w:rPr>
        <w:fldChar w:fldCharType="end"/>
      </w:r>
      <w:r>
        <w:rPr>
          <w:rFonts w:hint="eastAsia" w:ascii="黑体" w:hAnsi="黑体" w:eastAsia="黑体" w:cs="黑体"/>
          <w:sz w:val="24"/>
          <w:szCs w:val="24"/>
        </w:rPr>
        <w:t>，质量明显不满足</w:t>
      </w:r>
      <w:r>
        <w:rPr>
          <w:rFonts w:hint="eastAsia" w:ascii="黑体" w:hAnsi="黑体" w:eastAsia="黑体" w:cs="黑体"/>
          <w:sz w:val="24"/>
          <w:szCs w:val="24"/>
          <w:lang w:eastAsia="zh-CN"/>
        </w:rPr>
        <w:t>竞争性磋商文件</w:t>
      </w:r>
      <w:r>
        <w:rPr>
          <w:rFonts w:hint="eastAsia" w:ascii="黑体" w:hAnsi="黑体" w:eastAsia="黑体" w:cs="黑体"/>
          <w:sz w:val="24"/>
          <w:szCs w:val="24"/>
        </w:rPr>
        <w:t>、乙方投标文件和本合同规定标准的；</w:t>
      </w:r>
    </w:p>
    <w:p w14:paraId="77BB68D1">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（2） 乙方向甲方提供的产品，价格明显高于市场同类产品价格的；</w:t>
      </w:r>
    </w:p>
    <w:p w14:paraId="675AED1C">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（3） 乙方其它违反合同规定的行为。</w:t>
      </w:r>
    </w:p>
    <w:p w14:paraId="01400E2A">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九、不可抗力</w:t>
      </w:r>
    </w:p>
    <w:p w14:paraId="7C0A8EAE">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合同任一方由于受诸如战争、骚乱、瘟疫、严重火灾、洪水、台风、地震等不可抗力事件的影响而不能执行合同时，履行合同的期限应予以延长，延长的期限应相当于事故所影响的时间。不可抗力事件是指甲乙双方在缔结合同时所不能预见的，且它的发生及其后果是无法避免和无法克服的事故。</w:t>
      </w:r>
    </w:p>
    <w:p w14:paraId="210E4DE4">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十、履约保证金</w:t>
      </w:r>
    </w:p>
    <w:p w14:paraId="3FA174A5">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10.1  乙方原交纳的投标保证金中标后直接转为本项目的履约保证金。</w:t>
      </w:r>
    </w:p>
    <w:p w14:paraId="319087DC">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10.2  履约保证金待乙方产品全部到甲方现场并安装调试验收合格后一周内由甲方无息退还。</w:t>
      </w:r>
    </w:p>
    <w:p w14:paraId="549A5182">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十一、保密条款</w:t>
      </w:r>
    </w:p>
    <w:p w14:paraId="717C63A1">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任何一方对其获知的本合同涉及的所有有形、无形的信息及资料（包括但不限于甲乙双方的往来书面文字文件、电子邮件及信息、软盘资料等）中另一方的商业秘密或国家秘密负有保密义务。</w:t>
      </w:r>
    </w:p>
    <w:p w14:paraId="72CB7BDE">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十二、合同的解释</w:t>
      </w:r>
    </w:p>
    <w:p w14:paraId="6173AE52">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12.1任何一方对本合同及其附件的解释均应遵循诚实信用原则，依照本协议签订时有效的中华人民共和国的法律、法规以及人们通常的理解进行。</w:t>
      </w:r>
    </w:p>
    <w:p w14:paraId="4E34F4DF">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12.2本合同标题仅供查阅方便，并非对本合同的诠释或解释，本协议中以日表述的时间期限均指公历日。</w:t>
      </w:r>
    </w:p>
    <w:p w14:paraId="6F90BB90">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12.3 对本协议的任何解释均应以书面做出。</w:t>
      </w:r>
    </w:p>
    <w:p w14:paraId="1B0439D7">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十三、合同的终止</w:t>
      </w:r>
    </w:p>
    <w:p w14:paraId="6B7C5517">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13.1本协议有效期至产品完全交付甲方使用后。合同期内任何一方不得擅自终止合同，否则应负担所造成的一切损失。如一方因故需终止协议，必须提前以书面形式通知另一方，经双方达成一致意见后，方可终止。</w:t>
      </w:r>
    </w:p>
    <w:p w14:paraId="7B3F047C">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13.2、出现下列情况时本合同自行终止：</w:t>
      </w:r>
    </w:p>
    <w:p w14:paraId="05A02026">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任何一方没有行使其权利或没有就违约方的违约行为采取任何行动，不应被视为是对其权利的放弃或对追究其他各方违约责任权利的放弃。任何一方放弃针对违约方的某种权利，或放弃追究违约方的某种责任，不应视为对其他权利或追究其他责任的放弃。</w:t>
      </w:r>
    </w:p>
    <w:p w14:paraId="51E00B78">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十四、主导语言与计量单位</w:t>
      </w:r>
    </w:p>
    <w:p w14:paraId="04B9CA9A">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14.1 合同书写应用中文。甲乙双方所有的来往信函，以及合同有关的文件均应以中文书写。</w:t>
      </w:r>
    </w:p>
    <w:p w14:paraId="719BF84D">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14.2  除协议另有规定外，计量单位均使用中华人民共和国法定计量单位。</w:t>
      </w:r>
    </w:p>
    <w:p w14:paraId="21AFAFCC">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十五、合同修改</w:t>
      </w:r>
    </w:p>
    <w:p w14:paraId="726B2ADE">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15.1  对于本合同的未尽事宜，需进行修改、补充或完善的，甲乙双方必须就所修改的内容签订书面的修改书，作为本协议的补充合同。</w:t>
      </w:r>
    </w:p>
    <w:p w14:paraId="7E856966">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15.2  补充合同与本合同具有同等法律效力。</w:t>
      </w:r>
    </w:p>
    <w:p w14:paraId="20759095">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firstLine="542" w:firstLineChars="225"/>
        <w:jc w:val="left"/>
        <w:textAlignment w:val="auto"/>
        <w:rPr>
          <w:rFonts w:hint="eastAsia" w:ascii="黑体" w:hAnsi="黑体" w:eastAsia="黑体" w:cs="黑体"/>
          <w:b/>
          <w:sz w:val="24"/>
          <w:szCs w:val="24"/>
        </w:rPr>
      </w:pPr>
      <w:r>
        <w:rPr>
          <w:rFonts w:hint="eastAsia" w:ascii="黑体" w:hAnsi="黑体" w:eastAsia="黑体" w:cs="黑体"/>
          <w:b/>
          <w:sz w:val="24"/>
          <w:szCs w:val="24"/>
        </w:rPr>
        <w:t>十六.合同生效</w:t>
      </w:r>
    </w:p>
    <w:p w14:paraId="698E56AC">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4"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 xml:space="preserve">16.1  本合同甲乙双方合同，由采购人法定代表人或授权委托人与供应商法定代表人或授权委托人签字盖章之后生效。合同内容如遇国家法律、法规及政策另有规定的，从其规定。除非合同中另有说明。 </w:t>
      </w:r>
    </w:p>
    <w:p w14:paraId="5D584436">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4"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16.2  本合同中的附件均为本合同不可分割的部分，与本合同具有同等的法律效力。</w:t>
      </w:r>
    </w:p>
    <w:p w14:paraId="4F34585D">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4"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16.3 本合同一式肆份，甲方、乙方各执贰份。</w:t>
      </w:r>
    </w:p>
    <w:p w14:paraId="309A0065">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361" w:firstLineChars="150"/>
        <w:jc w:val="left"/>
        <w:textAlignment w:val="auto"/>
        <w:rPr>
          <w:rFonts w:hint="eastAsia" w:ascii="黑体" w:hAnsi="黑体" w:eastAsia="黑体" w:cs="黑体"/>
          <w:sz w:val="24"/>
          <w:szCs w:val="24"/>
        </w:rPr>
      </w:pPr>
      <w:r>
        <w:rPr>
          <w:rFonts w:hint="eastAsia" w:ascii="黑体" w:hAnsi="黑体" w:eastAsia="黑体" w:cs="黑体"/>
          <w:b/>
          <w:sz w:val="24"/>
          <w:szCs w:val="24"/>
        </w:rPr>
        <w:t>十七、合同执行而产生的问题的解决方式：</w:t>
      </w:r>
      <w:r>
        <w:rPr>
          <w:rFonts w:hint="eastAsia" w:ascii="黑体" w:hAnsi="黑体" w:eastAsia="黑体" w:cs="黑体"/>
          <w:sz w:val="24"/>
          <w:szCs w:val="24"/>
        </w:rPr>
        <w:t>　</w:t>
      </w:r>
    </w:p>
    <w:p w14:paraId="7527429F">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textAlignment w:val="auto"/>
        <w:rPr>
          <w:rFonts w:hint="eastAsia" w:ascii="黑体" w:hAnsi="黑体" w:eastAsia="黑体" w:cs="黑体"/>
          <w:sz w:val="24"/>
          <w:szCs w:val="24"/>
        </w:rPr>
      </w:pPr>
      <w:r>
        <w:rPr>
          <w:rFonts w:hint="eastAsia" w:ascii="黑体" w:hAnsi="黑体" w:eastAsia="黑体" w:cs="黑体"/>
          <w:sz w:val="24"/>
          <w:szCs w:val="24"/>
        </w:rPr>
        <w:t>１、双方协商解决（</w:t>
      </w:r>
      <w:r>
        <w:rPr>
          <w:rFonts w:hint="eastAsia" w:ascii="黑体" w:hAnsi="黑体" w:eastAsia="黑体" w:cs="黑体"/>
          <w:b/>
          <w:sz w:val="24"/>
          <w:szCs w:val="24"/>
        </w:rPr>
        <w:t>√</w:t>
      </w:r>
      <w:r>
        <w:rPr>
          <w:rFonts w:hint="eastAsia" w:ascii="黑体" w:hAnsi="黑体" w:eastAsia="黑体" w:cs="黑体"/>
          <w:sz w:val="24"/>
          <w:szCs w:val="24"/>
        </w:rPr>
        <w:t>）：</w:t>
      </w:r>
    </w:p>
    <w:p w14:paraId="717E6212">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２、提请乌海市仲裁委员会仲裁（　）：</w:t>
      </w:r>
    </w:p>
    <w:p w14:paraId="1B85E375">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firstLine="540" w:firstLineChars="225"/>
        <w:jc w:val="left"/>
        <w:textAlignment w:val="auto"/>
        <w:rPr>
          <w:rFonts w:hint="eastAsia" w:ascii="黑体" w:hAnsi="黑体" w:eastAsia="黑体" w:cs="黑体"/>
          <w:sz w:val="24"/>
          <w:szCs w:val="24"/>
        </w:rPr>
      </w:pPr>
      <w:r>
        <w:rPr>
          <w:rFonts w:hint="eastAsia" w:ascii="黑体" w:hAnsi="黑体" w:eastAsia="黑体" w:cs="黑体"/>
          <w:sz w:val="24"/>
          <w:szCs w:val="24"/>
        </w:rPr>
        <w:t>３、向人民法院提起诉讼（ ）：</w:t>
      </w:r>
    </w:p>
    <w:p w14:paraId="5CE3164B">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0" w:firstLineChars="200"/>
        <w:jc w:val="left"/>
        <w:textAlignment w:val="auto"/>
        <w:rPr>
          <w:rFonts w:hint="eastAsia" w:ascii="黑体" w:hAnsi="黑体" w:eastAsia="黑体" w:cs="黑体"/>
          <w:sz w:val="24"/>
          <w:szCs w:val="24"/>
        </w:rPr>
      </w:pPr>
      <w:r>
        <w:rPr>
          <w:rFonts w:hint="eastAsia" w:ascii="黑体" w:hAnsi="黑体" w:eastAsia="黑体" w:cs="黑体"/>
          <w:sz w:val="24"/>
          <w:szCs w:val="24"/>
        </w:rPr>
        <w:t>甲方：</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rPr>
        <w:t xml:space="preserve">  （盖章） </w:t>
      </w:r>
    </w:p>
    <w:p w14:paraId="44F6741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0" w:firstLineChars="200"/>
        <w:jc w:val="left"/>
        <w:textAlignment w:val="auto"/>
        <w:rPr>
          <w:rFonts w:hint="eastAsia" w:ascii="黑体" w:hAnsi="黑体" w:eastAsia="黑体" w:cs="黑体"/>
          <w:color w:val="000000"/>
          <w:sz w:val="24"/>
          <w:szCs w:val="24"/>
        </w:rPr>
      </w:pPr>
      <w:r>
        <w:rPr>
          <w:rFonts w:hint="eastAsia" w:ascii="黑体" w:hAnsi="黑体" w:eastAsia="黑体" w:cs="黑体"/>
          <w:color w:val="000000"/>
          <w:sz w:val="24"/>
          <w:szCs w:val="24"/>
        </w:rPr>
        <w:t>法定代表人或委托人：</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（签字）</w:t>
      </w:r>
    </w:p>
    <w:p w14:paraId="19BE884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0" w:firstLineChars="200"/>
        <w:jc w:val="left"/>
        <w:textAlignment w:val="auto"/>
        <w:rPr>
          <w:rFonts w:hint="eastAsia" w:ascii="黑体" w:hAnsi="黑体" w:eastAsia="黑体" w:cs="黑体"/>
          <w:color w:val="000000"/>
          <w:sz w:val="24"/>
          <w:szCs w:val="24"/>
        </w:rPr>
      </w:pPr>
      <w:r>
        <w:rPr>
          <w:rFonts w:hint="eastAsia" w:ascii="黑体" w:hAnsi="黑体" w:eastAsia="黑体" w:cs="黑体"/>
          <w:color w:val="000000"/>
          <w:sz w:val="24"/>
          <w:szCs w:val="24"/>
        </w:rPr>
        <w:t>联系电话：</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p>
    <w:p w14:paraId="5E2B114D">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480" w:firstLineChars="200"/>
        <w:textAlignment w:val="auto"/>
        <w:rPr>
          <w:rFonts w:hint="eastAsia" w:ascii="黑体" w:hAnsi="黑体" w:eastAsia="黑体" w:cs="黑体"/>
          <w:sz w:val="24"/>
          <w:szCs w:val="24"/>
        </w:rPr>
      </w:pPr>
      <w:r>
        <w:rPr>
          <w:rFonts w:hint="eastAsia" w:ascii="黑体" w:hAnsi="黑体" w:eastAsia="黑体" w:cs="黑体"/>
          <w:color w:val="000000"/>
          <w:sz w:val="24"/>
          <w:szCs w:val="24"/>
        </w:rPr>
        <w:t>合同签定时间：</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年</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月</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日</w:t>
      </w:r>
    </w:p>
    <w:p w14:paraId="0132E27B">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0" w:firstLineChars="200"/>
        <w:jc w:val="left"/>
        <w:textAlignment w:val="auto"/>
        <w:rPr>
          <w:rFonts w:hint="eastAsia" w:ascii="黑体" w:hAnsi="黑体" w:eastAsia="黑体" w:cs="黑体"/>
          <w:color w:val="000000"/>
          <w:sz w:val="24"/>
          <w:szCs w:val="24"/>
        </w:rPr>
      </w:pPr>
    </w:p>
    <w:p w14:paraId="285740F0">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0" w:firstLineChars="200"/>
        <w:jc w:val="left"/>
        <w:textAlignment w:val="auto"/>
        <w:rPr>
          <w:rFonts w:hint="eastAsia" w:ascii="黑体" w:hAnsi="黑体" w:eastAsia="黑体" w:cs="黑体"/>
          <w:sz w:val="24"/>
          <w:szCs w:val="24"/>
        </w:rPr>
      </w:pPr>
      <w:r>
        <w:rPr>
          <w:rFonts w:hint="eastAsia" w:ascii="黑体" w:hAnsi="黑体" w:eastAsia="黑体" w:cs="黑体"/>
          <w:sz w:val="24"/>
          <w:szCs w:val="24"/>
        </w:rPr>
        <w:t>乙   方：</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rPr>
        <w:t xml:space="preserve">  （盖章）</w:t>
      </w:r>
    </w:p>
    <w:p w14:paraId="48F03525">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480" w:firstLineChars="200"/>
        <w:textAlignment w:val="auto"/>
        <w:rPr>
          <w:rFonts w:hint="eastAsia" w:ascii="黑体" w:hAnsi="黑体" w:eastAsia="黑体" w:cs="黑体"/>
          <w:color w:val="000000"/>
          <w:sz w:val="24"/>
          <w:szCs w:val="24"/>
        </w:rPr>
      </w:pPr>
      <w:r>
        <w:rPr>
          <w:rFonts w:hint="eastAsia" w:ascii="黑体" w:hAnsi="黑体" w:eastAsia="黑体" w:cs="黑体"/>
          <w:color w:val="000000"/>
          <w:sz w:val="24"/>
          <w:szCs w:val="24"/>
        </w:rPr>
        <w:t>法定代表人或委托人：</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（签字）</w:t>
      </w:r>
    </w:p>
    <w:p w14:paraId="52B8E3AD">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480" w:firstLineChars="200"/>
        <w:jc w:val="left"/>
        <w:textAlignment w:val="auto"/>
        <w:rPr>
          <w:rFonts w:hint="eastAsia" w:ascii="黑体" w:hAnsi="黑体" w:eastAsia="黑体" w:cs="黑体"/>
          <w:color w:val="000000"/>
          <w:sz w:val="24"/>
          <w:szCs w:val="24"/>
        </w:rPr>
      </w:pPr>
      <w:r>
        <w:rPr>
          <w:rFonts w:hint="eastAsia" w:ascii="黑体" w:hAnsi="黑体" w:eastAsia="黑体" w:cs="黑体"/>
          <w:color w:val="000000"/>
          <w:sz w:val="24"/>
          <w:szCs w:val="24"/>
        </w:rPr>
        <w:t>联系电话：</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p>
    <w:p w14:paraId="37FDF8EC">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480" w:firstLineChars="200"/>
        <w:textAlignment w:val="auto"/>
        <w:rPr>
          <w:rFonts w:hint="eastAsia" w:ascii="黑体" w:hAnsi="黑体" w:eastAsia="黑体" w:cs="黑体"/>
          <w:sz w:val="24"/>
          <w:szCs w:val="24"/>
        </w:rPr>
      </w:pPr>
      <w:r>
        <w:rPr>
          <w:rFonts w:hint="eastAsia" w:ascii="黑体" w:hAnsi="黑体" w:eastAsia="黑体" w:cs="黑体"/>
          <w:color w:val="000000"/>
          <w:sz w:val="24"/>
          <w:szCs w:val="24"/>
        </w:rPr>
        <w:t>合同签定时间：</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年</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月</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color w:val="000000"/>
          <w:sz w:val="24"/>
          <w:szCs w:val="24"/>
        </w:rPr>
        <w:t xml:space="preserve">   日</w:t>
      </w:r>
    </w:p>
    <w:p w14:paraId="05C032A0">
      <w:pPr>
        <w:keepNext w:val="0"/>
        <w:keepLines w:val="0"/>
        <w:pageBreakBefore w:val="0"/>
        <w:kinsoku/>
        <w:wordWrap/>
        <w:overflowPunct/>
        <w:topLinePunct w:val="0"/>
        <w:autoSpaceDE/>
        <w:autoSpaceDN/>
        <w:bidi w:val="0"/>
        <w:adjustRightInd/>
        <w:snapToGrid/>
        <w:spacing w:before="100" w:beforeAutospacing="1" w:after="100" w:afterAutospacing="1" w:line="400" w:lineRule="exact"/>
        <w:ind w:left="0" w:firstLine="480" w:firstLineChars="200"/>
        <w:textAlignment w:val="auto"/>
        <w:rPr>
          <w:rFonts w:hint="eastAsia" w:ascii="黑体" w:hAnsi="黑体" w:eastAsia="黑体" w:cs="黑体"/>
          <w:sz w:val="24"/>
          <w:szCs w:val="24"/>
        </w:rPr>
      </w:pPr>
    </w:p>
    <w:p w14:paraId="02B70DCF">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firstLine="640" w:firstLineChars="200"/>
        <w:jc w:val="left"/>
        <w:textAlignment w:val="auto"/>
        <w:rPr>
          <w:rFonts w:hint="eastAsia" w:ascii="仿宋_GB2312" w:hAnsi="仿宋_GB2312" w:eastAsia="仿宋_GB2312"/>
          <w:color w:val="000000"/>
          <w:sz w:val="32"/>
        </w:rPr>
      </w:pPr>
    </w:p>
    <w:p w14:paraId="4B8FB41B">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rPr>
      </w:pPr>
      <w:r>
        <w:rPr>
          <w:rFonts w:hint="eastAsia" w:ascii="黑体" w:hAnsi="黑体" w:eastAsia="黑体" w:cs="黑体"/>
        </w:rPr>
        <w:br w:type="page"/>
      </w:r>
    </w:p>
    <w:p w14:paraId="12F5C78A">
      <w:pPr>
        <w:pStyle w:val="3"/>
        <w:bidi w:val="0"/>
        <w:spacing w:line="360" w:lineRule="auto"/>
        <w:rPr>
          <w:rFonts w:hint="eastAsia" w:ascii="黑体" w:hAnsi="黑体" w:eastAsia="黑体" w:cs="黑体"/>
        </w:rPr>
      </w:pPr>
      <w:bookmarkStart w:id="311" w:name="_Toc17458"/>
      <w:r>
        <w:rPr>
          <w:rFonts w:hint="eastAsia" w:ascii="黑体" w:hAnsi="黑体" w:eastAsia="黑体" w:cs="黑体"/>
          <w:lang w:val="en-US" w:eastAsia="zh-CN"/>
        </w:rPr>
        <w:t xml:space="preserve">  </w:t>
      </w:r>
      <w:r>
        <w:rPr>
          <w:rFonts w:hint="eastAsia" w:ascii="黑体" w:hAnsi="黑体" w:eastAsia="黑体" w:cs="黑体"/>
        </w:rPr>
        <w:t>第</w:t>
      </w:r>
      <w:r>
        <w:rPr>
          <w:rFonts w:hint="eastAsia" w:ascii="黑体" w:hAnsi="黑体" w:eastAsia="黑体" w:cs="黑体"/>
          <w:lang w:eastAsia="zh-CN"/>
        </w:rPr>
        <w:t>四</w:t>
      </w:r>
      <w:r>
        <w:rPr>
          <w:rFonts w:hint="eastAsia" w:ascii="黑体" w:hAnsi="黑体" w:eastAsia="黑体" w:cs="黑体"/>
        </w:rPr>
        <w:t>章  评审办法</w:t>
      </w:r>
      <w:bookmarkEnd w:id="310"/>
      <w:bookmarkEnd w:id="311"/>
    </w:p>
    <w:p w14:paraId="4AA5FAE9">
      <w:pPr>
        <w:pStyle w:val="4"/>
        <w:spacing w:line="240" w:lineRule="auto"/>
        <w:ind w:left="100" w:right="0"/>
        <w:jc w:val="center"/>
        <w:rPr>
          <w:rFonts w:hint="eastAsia" w:ascii="黑体" w:hAnsi="黑体" w:eastAsia="黑体" w:cs="黑体"/>
          <w:spacing w:val="2"/>
          <w:w w:val="100"/>
        </w:rPr>
      </w:pPr>
      <w:bookmarkStart w:id="312" w:name="_Toc9872"/>
      <w:bookmarkStart w:id="313" w:name="_Toc4127"/>
      <w:r>
        <w:rPr>
          <w:rFonts w:hint="eastAsia" w:ascii="黑体" w:hAnsi="黑体" w:eastAsia="黑体" w:cs="黑体"/>
          <w:b w:val="0"/>
          <w:bCs w:val="0"/>
          <w:spacing w:val="2"/>
          <w:w w:val="100"/>
          <w:lang w:val="en-US" w:eastAsia="zh-CN"/>
        </w:rPr>
        <w:t>1、</w:t>
      </w:r>
      <w:r>
        <w:rPr>
          <w:rFonts w:hint="eastAsia" w:ascii="黑体" w:hAnsi="黑体" w:eastAsia="黑体" w:cs="黑体"/>
          <w:b w:val="0"/>
          <w:bCs w:val="0"/>
          <w:spacing w:val="2"/>
          <w:w w:val="100"/>
        </w:rPr>
        <w:t>评标办法前附表</w:t>
      </w:r>
      <w:bookmarkEnd w:id="312"/>
      <w:bookmarkEnd w:id="313"/>
    </w:p>
    <w:tbl>
      <w:tblPr>
        <w:tblStyle w:val="39"/>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759"/>
        <w:gridCol w:w="6888"/>
      </w:tblGrid>
      <w:tr w14:paraId="02E19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noWrap w:val="0"/>
            <w:vAlign w:val="top"/>
          </w:tcPr>
          <w:p w14:paraId="45F5BE7D">
            <w:pPr>
              <w:spacing w:line="360" w:lineRule="auto"/>
              <w:jc w:val="left"/>
              <w:rPr>
                <w:rFonts w:hint="eastAsia" w:ascii="黑体" w:hAnsi="黑体" w:eastAsia="黑体" w:cs="黑体"/>
                <w:b/>
                <w:color w:val="auto"/>
                <w:sz w:val="21"/>
                <w:szCs w:val="21"/>
              </w:rPr>
            </w:pPr>
            <w:r>
              <w:rPr>
                <w:rFonts w:hint="eastAsia" w:ascii="黑体" w:hAnsi="黑体" w:eastAsia="黑体" w:cs="黑体"/>
                <w:b/>
                <w:color w:val="auto"/>
                <w:sz w:val="21"/>
                <w:szCs w:val="21"/>
              </w:rPr>
              <w:t>条款号</w:t>
            </w:r>
          </w:p>
        </w:tc>
        <w:tc>
          <w:tcPr>
            <w:tcW w:w="1759" w:type="dxa"/>
            <w:noWrap w:val="0"/>
            <w:vAlign w:val="top"/>
          </w:tcPr>
          <w:p w14:paraId="7510ABC0">
            <w:pPr>
              <w:spacing w:line="360" w:lineRule="auto"/>
              <w:rPr>
                <w:rFonts w:hint="eastAsia" w:ascii="黑体" w:hAnsi="黑体" w:eastAsia="黑体" w:cs="黑体"/>
                <w:b/>
                <w:color w:val="auto"/>
                <w:sz w:val="21"/>
                <w:szCs w:val="21"/>
              </w:rPr>
            </w:pPr>
            <w:r>
              <w:rPr>
                <w:rFonts w:hint="eastAsia" w:ascii="黑体" w:hAnsi="黑体" w:eastAsia="黑体" w:cs="黑体"/>
                <w:b/>
                <w:color w:val="auto"/>
                <w:sz w:val="21"/>
                <w:szCs w:val="21"/>
              </w:rPr>
              <w:t>评 审 因 素</w:t>
            </w:r>
          </w:p>
        </w:tc>
        <w:tc>
          <w:tcPr>
            <w:tcW w:w="6888" w:type="dxa"/>
            <w:tcBorders>
              <w:right w:val="single" w:color="auto" w:sz="4" w:space="0"/>
            </w:tcBorders>
            <w:noWrap w:val="0"/>
            <w:vAlign w:val="top"/>
          </w:tcPr>
          <w:p w14:paraId="122568E2">
            <w:pPr>
              <w:spacing w:line="360" w:lineRule="auto"/>
              <w:ind w:firstLine="602"/>
              <w:jc w:val="center"/>
              <w:rPr>
                <w:rFonts w:hint="eastAsia" w:ascii="黑体" w:hAnsi="黑体" w:eastAsia="黑体" w:cs="黑体"/>
                <w:b/>
                <w:color w:val="auto"/>
                <w:sz w:val="21"/>
                <w:szCs w:val="21"/>
              </w:rPr>
            </w:pPr>
            <w:r>
              <w:rPr>
                <w:rFonts w:hint="eastAsia" w:ascii="黑体" w:hAnsi="黑体" w:eastAsia="黑体" w:cs="黑体"/>
                <w:b/>
                <w:color w:val="auto"/>
                <w:sz w:val="21"/>
                <w:szCs w:val="21"/>
              </w:rPr>
              <w:t>评 审 标 准</w:t>
            </w:r>
          </w:p>
        </w:tc>
      </w:tr>
      <w:tr w14:paraId="0C51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011" w:type="dxa"/>
            <w:noWrap w:val="0"/>
            <w:vAlign w:val="top"/>
          </w:tcPr>
          <w:p w14:paraId="7DA62DBF">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评标</w:t>
            </w:r>
          </w:p>
          <w:p w14:paraId="6E93A941">
            <w:pPr>
              <w:spacing w:line="360" w:lineRule="auto"/>
              <w:jc w:val="center"/>
              <w:rPr>
                <w:rFonts w:hint="eastAsia" w:ascii="黑体" w:hAnsi="黑体" w:eastAsia="黑体" w:cs="黑体"/>
                <w:color w:val="auto"/>
                <w:sz w:val="21"/>
                <w:szCs w:val="21"/>
                <w:lang w:val="en-US" w:eastAsia="en-US"/>
              </w:rPr>
            </w:pPr>
            <w:r>
              <w:rPr>
                <w:rFonts w:hint="eastAsia" w:ascii="黑体" w:hAnsi="黑体" w:eastAsia="黑体" w:cs="黑体"/>
                <w:color w:val="auto"/>
                <w:sz w:val="21"/>
                <w:szCs w:val="21"/>
              </w:rPr>
              <w:t>方法</w:t>
            </w:r>
          </w:p>
        </w:tc>
        <w:tc>
          <w:tcPr>
            <w:tcW w:w="1759" w:type="dxa"/>
            <w:noWrap w:val="0"/>
            <w:vAlign w:val="top"/>
          </w:tcPr>
          <w:p w14:paraId="7ABD7F31">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中标候选人</w:t>
            </w:r>
          </w:p>
          <w:p w14:paraId="322CD4ED">
            <w:pPr>
              <w:spacing w:line="360" w:lineRule="auto"/>
              <w:jc w:val="center"/>
              <w:rPr>
                <w:rFonts w:hint="eastAsia" w:ascii="黑体" w:hAnsi="黑体" w:eastAsia="黑体" w:cs="黑体"/>
                <w:color w:val="auto"/>
                <w:sz w:val="21"/>
                <w:szCs w:val="21"/>
                <w:lang w:val="en-US" w:eastAsia="en-US"/>
              </w:rPr>
            </w:pPr>
            <w:r>
              <w:rPr>
                <w:rFonts w:hint="eastAsia" w:ascii="黑体" w:hAnsi="黑体" w:eastAsia="黑体" w:cs="黑体"/>
                <w:color w:val="auto"/>
                <w:sz w:val="21"/>
                <w:szCs w:val="21"/>
              </w:rPr>
              <w:t>排序方法</w:t>
            </w:r>
          </w:p>
        </w:tc>
        <w:tc>
          <w:tcPr>
            <w:tcW w:w="6888" w:type="dxa"/>
            <w:tcBorders>
              <w:right w:val="single" w:color="auto" w:sz="4" w:space="0"/>
            </w:tcBorders>
            <w:noWrap w:val="0"/>
            <w:vAlign w:val="center"/>
          </w:tcPr>
          <w:p w14:paraId="18719DCA">
            <w:pPr>
              <w:spacing w:line="360" w:lineRule="auto"/>
              <w:jc w:val="both"/>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en-US"/>
              </w:rPr>
              <w:t>按</w:t>
            </w:r>
            <w:r>
              <w:rPr>
                <w:rFonts w:hint="eastAsia" w:ascii="黑体" w:hAnsi="黑体" w:eastAsia="黑体" w:cs="黑体"/>
                <w:color w:val="auto"/>
                <w:sz w:val="21"/>
                <w:szCs w:val="21"/>
                <w:lang w:val="en-US" w:eastAsia="zh-CN"/>
              </w:rPr>
              <w:t>综合</w:t>
            </w:r>
            <w:r>
              <w:rPr>
                <w:rFonts w:hint="eastAsia" w:ascii="黑体" w:hAnsi="黑体" w:eastAsia="黑体" w:cs="黑体"/>
                <w:color w:val="auto"/>
                <w:sz w:val="21"/>
                <w:szCs w:val="21"/>
                <w:lang w:val="en-US" w:eastAsia="en-US"/>
              </w:rPr>
              <w:t>得分由高到低顺序</w:t>
            </w:r>
            <w:r>
              <w:rPr>
                <w:rFonts w:hint="eastAsia" w:ascii="黑体" w:hAnsi="黑体" w:eastAsia="黑体" w:cs="黑体"/>
                <w:color w:val="auto"/>
                <w:sz w:val="21"/>
                <w:szCs w:val="21"/>
                <w:lang w:val="en-US" w:eastAsia="zh-CN"/>
              </w:rPr>
              <w:t>排序</w:t>
            </w:r>
          </w:p>
        </w:tc>
      </w:tr>
      <w:tr w14:paraId="1A62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restart"/>
            <w:noWrap w:val="0"/>
            <w:vAlign w:val="center"/>
          </w:tcPr>
          <w:p w14:paraId="501AF4E3">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形式评审标准</w:t>
            </w:r>
          </w:p>
        </w:tc>
        <w:tc>
          <w:tcPr>
            <w:tcW w:w="1759" w:type="dxa"/>
            <w:noWrap w:val="0"/>
            <w:vAlign w:val="center"/>
          </w:tcPr>
          <w:p w14:paraId="11DFF2D3">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lang w:eastAsia="zh-CN"/>
              </w:rPr>
              <w:t>供应商</w:t>
            </w:r>
            <w:r>
              <w:rPr>
                <w:rFonts w:hint="eastAsia" w:ascii="黑体" w:hAnsi="黑体" w:eastAsia="黑体" w:cs="黑体"/>
                <w:color w:val="auto"/>
                <w:sz w:val="21"/>
                <w:szCs w:val="21"/>
              </w:rPr>
              <w:t>名称</w:t>
            </w:r>
          </w:p>
        </w:tc>
        <w:tc>
          <w:tcPr>
            <w:tcW w:w="6888" w:type="dxa"/>
            <w:tcBorders>
              <w:right w:val="single" w:color="auto" w:sz="4" w:space="0"/>
            </w:tcBorders>
            <w:noWrap w:val="0"/>
            <w:vAlign w:val="center"/>
          </w:tcPr>
          <w:p w14:paraId="1C835180">
            <w:pPr>
              <w:spacing w:line="360" w:lineRule="auto"/>
              <w:rPr>
                <w:rFonts w:hint="eastAsia" w:ascii="黑体" w:hAnsi="黑体" w:eastAsia="黑体" w:cs="黑体"/>
                <w:color w:val="auto"/>
                <w:sz w:val="21"/>
                <w:szCs w:val="21"/>
              </w:rPr>
            </w:pPr>
            <w:r>
              <w:rPr>
                <w:rFonts w:hint="eastAsia" w:ascii="黑体" w:hAnsi="黑体" w:eastAsia="黑体" w:cs="黑体"/>
                <w:color w:val="auto"/>
                <w:sz w:val="21"/>
                <w:szCs w:val="21"/>
              </w:rPr>
              <w:t>与营业执照一致</w:t>
            </w:r>
          </w:p>
        </w:tc>
      </w:tr>
      <w:tr w14:paraId="1E22A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center"/>
          </w:tcPr>
          <w:p w14:paraId="62383AF9">
            <w:pPr>
              <w:spacing w:line="360" w:lineRule="auto"/>
              <w:jc w:val="center"/>
              <w:rPr>
                <w:rFonts w:hint="eastAsia" w:ascii="黑体" w:hAnsi="黑体" w:eastAsia="黑体" w:cs="黑体"/>
                <w:color w:val="auto"/>
                <w:sz w:val="21"/>
                <w:szCs w:val="21"/>
              </w:rPr>
            </w:pPr>
          </w:p>
        </w:tc>
        <w:tc>
          <w:tcPr>
            <w:tcW w:w="1759" w:type="dxa"/>
            <w:noWrap w:val="0"/>
            <w:vAlign w:val="center"/>
          </w:tcPr>
          <w:p w14:paraId="336AC1C9">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投标函签字盖章</w:t>
            </w:r>
          </w:p>
        </w:tc>
        <w:tc>
          <w:tcPr>
            <w:tcW w:w="6888" w:type="dxa"/>
            <w:noWrap w:val="0"/>
            <w:vAlign w:val="center"/>
          </w:tcPr>
          <w:p w14:paraId="1AC7DB03">
            <w:pPr>
              <w:spacing w:line="360" w:lineRule="auto"/>
              <w:rPr>
                <w:rFonts w:hint="eastAsia" w:ascii="黑体" w:hAnsi="黑体" w:eastAsia="黑体" w:cs="黑体"/>
                <w:color w:val="auto"/>
                <w:sz w:val="21"/>
                <w:szCs w:val="21"/>
              </w:rPr>
            </w:pPr>
            <w:r>
              <w:rPr>
                <w:rFonts w:hint="eastAsia" w:ascii="黑体" w:hAnsi="黑体" w:eastAsia="黑体" w:cs="黑体"/>
                <w:color w:val="auto"/>
                <w:sz w:val="21"/>
                <w:szCs w:val="21"/>
              </w:rPr>
              <w:t>有法定代表人或其委托代理人签字加盖单位章</w:t>
            </w:r>
          </w:p>
        </w:tc>
      </w:tr>
      <w:tr w14:paraId="04D2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center"/>
          </w:tcPr>
          <w:p w14:paraId="4725C88A">
            <w:pPr>
              <w:spacing w:line="360" w:lineRule="auto"/>
              <w:jc w:val="center"/>
              <w:rPr>
                <w:rFonts w:hint="eastAsia" w:ascii="黑体" w:hAnsi="黑体" w:eastAsia="黑体" w:cs="黑体"/>
                <w:color w:val="auto"/>
                <w:sz w:val="21"/>
                <w:szCs w:val="21"/>
              </w:rPr>
            </w:pPr>
          </w:p>
        </w:tc>
        <w:tc>
          <w:tcPr>
            <w:tcW w:w="1759" w:type="dxa"/>
            <w:noWrap w:val="0"/>
            <w:vAlign w:val="center"/>
          </w:tcPr>
          <w:p w14:paraId="514EA72C">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lang w:eastAsia="zh-CN"/>
              </w:rPr>
              <w:t>响应文件</w:t>
            </w:r>
            <w:r>
              <w:rPr>
                <w:rFonts w:hint="eastAsia" w:ascii="黑体" w:hAnsi="黑体" w:eastAsia="黑体" w:cs="黑体"/>
                <w:color w:val="auto"/>
                <w:sz w:val="21"/>
                <w:szCs w:val="21"/>
              </w:rPr>
              <w:t>格式</w:t>
            </w:r>
          </w:p>
        </w:tc>
        <w:tc>
          <w:tcPr>
            <w:tcW w:w="6888" w:type="dxa"/>
            <w:noWrap w:val="0"/>
            <w:vAlign w:val="center"/>
          </w:tcPr>
          <w:p w14:paraId="0D7E0F18">
            <w:pPr>
              <w:spacing w:line="360" w:lineRule="auto"/>
              <w:rPr>
                <w:rFonts w:hint="eastAsia" w:ascii="黑体" w:hAnsi="黑体" w:eastAsia="黑体" w:cs="黑体"/>
                <w:color w:val="auto"/>
                <w:sz w:val="21"/>
                <w:szCs w:val="21"/>
              </w:rPr>
            </w:pPr>
            <w:r>
              <w:rPr>
                <w:rFonts w:hint="eastAsia" w:ascii="黑体" w:hAnsi="黑体" w:eastAsia="黑体" w:cs="黑体"/>
                <w:color w:val="auto"/>
                <w:sz w:val="21"/>
                <w:szCs w:val="21"/>
              </w:rPr>
              <w:t>符合第</w:t>
            </w:r>
            <w:r>
              <w:rPr>
                <w:rFonts w:hint="eastAsia" w:ascii="黑体" w:hAnsi="黑体" w:eastAsia="黑体" w:cs="黑体"/>
                <w:color w:val="auto"/>
                <w:sz w:val="21"/>
                <w:szCs w:val="21"/>
                <w:lang w:val="en-US" w:eastAsia="zh-CN"/>
              </w:rPr>
              <w:t>六</w:t>
            </w:r>
            <w:r>
              <w:rPr>
                <w:rFonts w:hint="eastAsia" w:ascii="黑体" w:hAnsi="黑体" w:eastAsia="黑体" w:cs="黑体"/>
                <w:color w:val="auto"/>
                <w:sz w:val="21"/>
                <w:szCs w:val="21"/>
              </w:rPr>
              <w:t>章“</w:t>
            </w:r>
            <w:r>
              <w:rPr>
                <w:rFonts w:hint="eastAsia" w:ascii="黑体" w:hAnsi="黑体" w:eastAsia="黑体" w:cs="黑体"/>
                <w:color w:val="auto"/>
                <w:sz w:val="21"/>
                <w:szCs w:val="21"/>
                <w:lang w:eastAsia="zh-CN"/>
              </w:rPr>
              <w:t>响应文件</w:t>
            </w:r>
            <w:r>
              <w:rPr>
                <w:rFonts w:hint="eastAsia" w:ascii="黑体" w:hAnsi="黑体" w:eastAsia="黑体" w:cs="黑体"/>
                <w:color w:val="auto"/>
                <w:sz w:val="21"/>
                <w:szCs w:val="21"/>
              </w:rPr>
              <w:t>格式”的规定</w:t>
            </w:r>
          </w:p>
        </w:tc>
      </w:tr>
      <w:tr w14:paraId="4B0F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center"/>
          </w:tcPr>
          <w:p w14:paraId="1EA4A29F">
            <w:pPr>
              <w:spacing w:line="360" w:lineRule="auto"/>
              <w:jc w:val="center"/>
              <w:rPr>
                <w:rFonts w:hint="eastAsia" w:ascii="黑体" w:hAnsi="黑体" w:eastAsia="黑体" w:cs="黑体"/>
                <w:color w:val="auto"/>
                <w:sz w:val="21"/>
                <w:szCs w:val="21"/>
              </w:rPr>
            </w:pPr>
          </w:p>
        </w:tc>
        <w:tc>
          <w:tcPr>
            <w:tcW w:w="1759" w:type="dxa"/>
            <w:noWrap w:val="0"/>
            <w:vAlign w:val="center"/>
          </w:tcPr>
          <w:p w14:paraId="62720C26">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报价唯一</w:t>
            </w:r>
          </w:p>
        </w:tc>
        <w:tc>
          <w:tcPr>
            <w:tcW w:w="6888" w:type="dxa"/>
            <w:noWrap w:val="0"/>
            <w:vAlign w:val="center"/>
          </w:tcPr>
          <w:p w14:paraId="0D9A16D8">
            <w:pPr>
              <w:spacing w:line="360" w:lineRule="auto"/>
              <w:rPr>
                <w:rFonts w:hint="eastAsia" w:ascii="黑体" w:hAnsi="黑体" w:eastAsia="黑体" w:cs="黑体"/>
                <w:color w:val="auto"/>
                <w:sz w:val="21"/>
                <w:szCs w:val="21"/>
              </w:rPr>
            </w:pPr>
            <w:r>
              <w:rPr>
                <w:rFonts w:hint="eastAsia" w:ascii="黑体" w:hAnsi="黑体" w:eastAsia="黑体" w:cs="黑体"/>
                <w:color w:val="auto"/>
                <w:sz w:val="21"/>
                <w:szCs w:val="21"/>
              </w:rPr>
              <w:t>只能有一个有效报价</w:t>
            </w:r>
          </w:p>
        </w:tc>
      </w:tr>
      <w:tr w14:paraId="122AC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restart"/>
            <w:noWrap w:val="0"/>
            <w:vAlign w:val="center"/>
          </w:tcPr>
          <w:p w14:paraId="6EE9A9D3">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资格</w:t>
            </w:r>
          </w:p>
          <w:p w14:paraId="1D6388BF">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评审</w:t>
            </w:r>
          </w:p>
          <w:p w14:paraId="1D4F0868">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标准</w:t>
            </w:r>
          </w:p>
        </w:tc>
        <w:tc>
          <w:tcPr>
            <w:tcW w:w="1759" w:type="dxa"/>
            <w:noWrap w:val="0"/>
            <w:vAlign w:val="center"/>
          </w:tcPr>
          <w:p w14:paraId="0DEDB148">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营业执照</w:t>
            </w:r>
          </w:p>
        </w:tc>
        <w:tc>
          <w:tcPr>
            <w:tcW w:w="6888" w:type="dxa"/>
            <w:noWrap w:val="0"/>
            <w:vAlign w:val="center"/>
          </w:tcPr>
          <w:p w14:paraId="2369D260">
            <w:pPr>
              <w:spacing w:line="360" w:lineRule="auto"/>
              <w:rPr>
                <w:rFonts w:hint="eastAsia" w:ascii="黑体" w:hAnsi="黑体" w:eastAsia="黑体" w:cs="黑体"/>
                <w:color w:val="auto"/>
                <w:sz w:val="21"/>
                <w:szCs w:val="21"/>
                <w:lang w:val="en-US" w:eastAsia="zh-CN"/>
              </w:rPr>
            </w:pPr>
            <w:r>
              <w:rPr>
                <w:rFonts w:hint="eastAsia" w:ascii="黑体" w:hAnsi="黑体" w:eastAsia="黑体" w:cs="黑体"/>
                <w:color w:val="auto"/>
                <w:sz w:val="22"/>
                <w:szCs w:val="22"/>
                <w:lang w:eastAsia="zh-CN"/>
              </w:rPr>
              <w:t>具备有效营业执照</w:t>
            </w:r>
          </w:p>
        </w:tc>
      </w:tr>
      <w:tr w14:paraId="3D1C4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center"/>
          </w:tcPr>
          <w:p w14:paraId="7F20B77E">
            <w:pPr>
              <w:spacing w:line="360" w:lineRule="auto"/>
              <w:jc w:val="center"/>
              <w:rPr>
                <w:rFonts w:hint="eastAsia" w:ascii="黑体" w:hAnsi="黑体" w:eastAsia="黑体" w:cs="黑体"/>
                <w:color w:val="auto"/>
                <w:sz w:val="21"/>
                <w:szCs w:val="21"/>
              </w:rPr>
            </w:pPr>
          </w:p>
        </w:tc>
        <w:tc>
          <w:tcPr>
            <w:tcW w:w="1759" w:type="dxa"/>
            <w:noWrap w:val="0"/>
            <w:vAlign w:val="center"/>
          </w:tcPr>
          <w:p w14:paraId="1124049F">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中小微企业</w:t>
            </w:r>
          </w:p>
        </w:tc>
        <w:tc>
          <w:tcPr>
            <w:tcW w:w="6888" w:type="dxa"/>
            <w:noWrap w:val="0"/>
            <w:vAlign w:val="center"/>
          </w:tcPr>
          <w:p w14:paraId="5A7A1C50">
            <w:pPr>
              <w:spacing w:line="360" w:lineRule="auto"/>
              <w:rPr>
                <w:rFonts w:hint="eastAsia" w:ascii="黑体" w:hAnsi="黑体" w:eastAsia="黑体" w:cs="黑体"/>
                <w:color w:val="auto"/>
                <w:sz w:val="21"/>
                <w:szCs w:val="21"/>
                <w:lang w:eastAsia="zh-CN"/>
              </w:rPr>
            </w:pPr>
            <w:r>
              <w:rPr>
                <w:rFonts w:hint="eastAsia" w:ascii="黑体" w:hAnsi="黑体" w:eastAsia="黑体" w:cs="黑体"/>
                <w:color w:val="auto"/>
                <w:sz w:val="21"/>
                <w:szCs w:val="21"/>
                <w:lang w:val="en-US" w:eastAsia="zh-CN"/>
              </w:rPr>
              <w:t>供应商需为中小微企业</w:t>
            </w:r>
          </w:p>
        </w:tc>
      </w:tr>
      <w:tr w14:paraId="6D6F1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center"/>
          </w:tcPr>
          <w:p w14:paraId="59AD1789">
            <w:pPr>
              <w:spacing w:line="360" w:lineRule="auto"/>
              <w:jc w:val="center"/>
              <w:rPr>
                <w:rFonts w:hint="eastAsia" w:ascii="黑体" w:hAnsi="黑体" w:eastAsia="黑体" w:cs="黑体"/>
                <w:color w:val="auto"/>
                <w:sz w:val="21"/>
                <w:szCs w:val="21"/>
              </w:rPr>
            </w:pPr>
          </w:p>
        </w:tc>
        <w:tc>
          <w:tcPr>
            <w:tcW w:w="1759" w:type="dxa"/>
            <w:noWrap w:val="0"/>
            <w:vAlign w:val="center"/>
          </w:tcPr>
          <w:p w14:paraId="4F0C24A4">
            <w:pPr>
              <w:spacing w:line="360" w:lineRule="auto"/>
              <w:jc w:val="center"/>
              <w:rPr>
                <w:rFonts w:hint="eastAsia" w:ascii="黑体" w:hAnsi="黑体" w:eastAsia="黑体" w:cs="黑体"/>
                <w:color w:val="auto"/>
                <w:sz w:val="21"/>
                <w:szCs w:val="21"/>
                <w:lang w:val="en-US" w:eastAsia="zh-CN" w:bidi="ar-SA"/>
              </w:rPr>
            </w:pPr>
            <w:r>
              <w:rPr>
                <w:rFonts w:hint="eastAsia" w:ascii="黑体" w:hAnsi="黑体" w:eastAsia="黑体" w:cs="黑体"/>
                <w:color w:val="auto"/>
                <w:sz w:val="21"/>
                <w:szCs w:val="21"/>
              </w:rPr>
              <w:t>法人授权委托书</w:t>
            </w:r>
          </w:p>
        </w:tc>
        <w:tc>
          <w:tcPr>
            <w:tcW w:w="6888" w:type="dxa"/>
            <w:noWrap w:val="0"/>
            <w:vAlign w:val="center"/>
          </w:tcPr>
          <w:p w14:paraId="2A579B98">
            <w:pPr>
              <w:spacing w:line="360" w:lineRule="auto"/>
              <w:rPr>
                <w:rFonts w:hint="eastAsia" w:ascii="黑体" w:hAnsi="黑体" w:eastAsia="黑体" w:cs="黑体"/>
                <w:color w:val="auto"/>
                <w:sz w:val="21"/>
                <w:szCs w:val="21"/>
                <w:lang w:val="en-US" w:eastAsia="en-US" w:bidi="ar-SA"/>
              </w:rPr>
            </w:pPr>
            <w:r>
              <w:rPr>
                <w:rFonts w:hint="eastAsia" w:ascii="黑体" w:hAnsi="黑体" w:eastAsia="黑体" w:cs="黑体"/>
                <w:color w:val="auto"/>
                <w:sz w:val="21"/>
                <w:szCs w:val="21"/>
              </w:rPr>
              <w:t>本项目的</w:t>
            </w:r>
          </w:p>
        </w:tc>
      </w:tr>
      <w:tr w14:paraId="38B26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center"/>
          </w:tcPr>
          <w:p w14:paraId="060EB239">
            <w:pPr>
              <w:spacing w:line="360" w:lineRule="auto"/>
              <w:jc w:val="center"/>
              <w:rPr>
                <w:rFonts w:hint="eastAsia" w:ascii="黑体" w:hAnsi="黑体" w:eastAsia="黑体" w:cs="黑体"/>
                <w:color w:val="auto"/>
                <w:sz w:val="21"/>
                <w:szCs w:val="21"/>
              </w:rPr>
            </w:pPr>
          </w:p>
        </w:tc>
        <w:tc>
          <w:tcPr>
            <w:tcW w:w="1759" w:type="dxa"/>
            <w:noWrap w:val="0"/>
            <w:vAlign w:val="center"/>
          </w:tcPr>
          <w:p w14:paraId="1B51A622">
            <w:pPr>
              <w:spacing w:line="360" w:lineRule="auto"/>
              <w:jc w:val="center"/>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社保和纳税</w:t>
            </w:r>
          </w:p>
        </w:tc>
        <w:tc>
          <w:tcPr>
            <w:tcW w:w="6888" w:type="dxa"/>
            <w:noWrap w:val="0"/>
            <w:vAlign w:val="center"/>
          </w:tcPr>
          <w:p w14:paraId="5BCE6EF1">
            <w:pPr>
              <w:spacing w:line="360" w:lineRule="auto"/>
              <w:rPr>
                <w:rFonts w:hint="default" w:ascii="黑体" w:hAnsi="黑体" w:eastAsia="黑体" w:cs="黑体"/>
                <w:color w:val="auto"/>
                <w:sz w:val="22"/>
                <w:szCs w:val="22"/>
                <w:lang w:val="en-US" w:eastAsia="zh-CN"/>
              </w:rPr>
            </w:pPr>
            <w:r>
              <w:rPr>
                <w:rFonts w:hint="eastAsia" w:ascii="黑体" w:hAnsi="黑体" w:eastAsia="黑体" w:cs="黑体"/>
                <w:color w:val="auto"/>
                <w:sz w:val="22"/>
                <w:szCs w:val="22"/>
                <w:highlight w:val="none"/>
                <w:lang w:val="en-US" w:eastAsia="zh-CN"/>
              </w:rPr>
              <w:t>提供2024年5月至今任意一个月的社保缴费记录和缴纳税收的证明</w:t>
            </w:r>
          </w:p>
        </w:tc>
      </w:tr>
      <w:tr w14:paraId="284F0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1" w:type="dxa"/>
            <w:vMerge w:val="continue"/>
            <w:noWrap w:val="0"/>
            <w:vAlign w:val="center"/>
          </w:tcPr>
          <w:p w14:paraId="4C550DE2">
            <w:pPr>
              <w:spacing w:line="360" w:lineRule="auto"/>
              <w:jc w:val="center"/>
              <w:rPr>
                <w:rFonts w:hint="eastAsia" w:ascii="黑体" w:hAnsi="黑体" w:eastAsia="黑体" w:cs="黑体"/>
                <w:color w:val="auto"/>
                <w:sz w:val="21"/>
                <w:szCs w:val="21"/>
              </w:rPr>
            </w:pPr>
          </w:p>
        </w:tc>
        <w:tc>
          <w:tcPr>
            <w:tcW w:w="1759" w:type="dxa"/>
            <w:noWrap w:val="0"/>
            <w:vAlign w:val="center"/>
          </w:tcPr>
          <w:p w14:paraId="0E22A782">
            <w:pPr>
              <w:spacing w:line="360" w:lineRule="auto"/>
              <w:jc w:val="center"/>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财务状况</w:t>
            </w:r>
          </w:p>
        </w:tc>
        <w:tc>
          <w:tcPr>
            <w:tcW w:w="6888" w:type="dxa"/>
            <w:noWrap w:val="0"/>
            <w:vAlign w:val="center"/>
          </w:tcPr>
          <w:p w14:paraId="3BDE53D7">
            <w:pPr>
              <w:spacing w:line="360" w:lineRule="auto"/>
              <w:rPr>
                <w:rFonts w:hint="default" w:ascii="黑体" w:hAnsi="黑体" w:eastAsia="黑体" w:cs="黑体"/>
                <w:color w:val="auto"/>
                <w:sz w:val="22"/>
                <w:szCs w:val="22"/>
                <w:lang w:val="en-US" w:eastAsia="zh-CN"/>
              </w:rPr>
            </w:pPr>
            <w:r>
              <w:rPr>
                <w:rFonts w:hint="eastAsia" w:ascii="黑体" w:hAnsi="黑体" w:eastAsia="黑体" w:cs="黑体"/>
                <w:color w:val="auto"/>
                <w:sz w:val="22"/>
                <w:szCs w:val="22"/>
                <w:lang w:val="en-US" w:eastAsia="zh-CN"/>
              </w:rPr>
              <w:t>提供</w:t>
            </w:r>
            <w:r>
              <w:rPr>
                <w:rFonts w:hint="default" w:ascii="黑体" w:hAnsi="黑体" w:eastAsia="黑体" w:cs="黑体"/>
                <w:color w:val="auto"/>
                <w:sz w:val="22"/>
                <w:szCs w:val="22"/>
                <w:lang w:val="en-US" w:eastAsia="zh-CN"/>
              </w:rPr>
              <w:t>供应商2023或2024年度经会计师事务所出具的财务审计报告或其基本开户银行出具的近一年内的银行资信证明。</w:t>
            </w:r>
          </w:p>
        </w:tc>
      </w:tr>
      <w:tr w14:paraId="098E4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11" w:type="dxa"/>
            <w:vMerge w:val="continue"/>
            <w:noWrap w:val="0"/>
            <w:vAlign w:val="center"/>
          </w:tcPr>
          <w:p w14:paraId="4C2723FF">
            <w:pPr>
              <w:spacing w:line="360" w:lineRule="auto"/>
              <w:jc w:val="center"/>
              <w:rPr>
                <w:rFonts w:hint="eastAsia" w:ascii="黑体" w:hAnsi="黑体" w:eastAsia="黑体" w:cs="黑体"/>
                <w:color w:val="auto"/>
                <w:sz w:val="21"/>
                <w:szCs w:val="21"/>
              </w:rPr>
            </w:pPr>
          </w:p>
        </w:tc>
        <w:tc>
          <w:tcPr>
            <w:tcW w:w="1759" w:type="dxa"/>
            <w:vMerge w:val="restart"/>
            <w:noWrap w:val="0"/>
            <w:vAlign w:val="center"/>
          </w:tcPr>
          <w:p w14:paraId="213FD63A">
            <w:pPr>
              <w:spacing w:line="360" w:lineRule="auto"/>
              <w:jc w:val="center"/>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投标承诺</w:t>
            </w:r>
          </w:p>
        </w:tc>
        <w:tc>
          <w:tcPr>
            <w:tcW w:w="6888" w:type="dxa"/>
            <w:noWrap w:val="0"/>
            <w:vAlign w:val="center"/>
          </w:tcPr>
          <w:p w14:paraId="1A1E8EA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2"/>
                <w:szCs w:val="22"/>
                <w:lang w:val="en-US" w:eastAsia="zh-CN"/>
              </w:rPr>
            </w:pPr>
            <w:r>
              <w:rPr>
                <w:rFonts w:hint="eastAsia" w:ascii="黑体" w:hAnsi="黑体" w:eastAsia="黑体" w:cs="黑体"/>
                <w:color w:val="auto"/>
                <w:sz w:val="22"/>
                <w:szCs w:val="22"/>
                <w:lang w:val="en-US" w:eastAsia="zh-CN"/>
              </w:rPr>
              <w:t>供应商具有履行合同所必需的设备和专业技术能力。</w:t>
            </w:r>
          </w:p>
        </w:tc>
      </w:tr>
      <w:tr w14:paraId="171A2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11" w:type="dxa"/>
            <w:vMerge w:val="continue"/>
            <w:noWrap w:val="0"/>
            <w:vAlign w:val="center"/>
          </w:tcPr>
          <w:p w14:paraId="09CD2C1C">
            <w:pPr>
              <w:spacing w:line="360" w:lineRule="auto"/>
              <w:rPr>
                <w:rFonts w:hint="eastAsia" w:ascii="黑体" w:hAnsi="黑体" w:eastAsia="黑体" w:cs="黑体"/>
                <w:color w:val="auto"/>
                <w:sz w:val="22"/>
                <w:szCs w:val="22"/>
                <w:lang w:val="en-US" w:eastAsia="zh-CN"/>
              </w:rPr>
            </w:pPr>
          </w:p>
        </w:tc>
        <w:tc>
          <w:tcPr>
            <w:tcW w:w="1759" w:type="dxa"/>
            <w:vMerge w:val="continue"/>
            <w:noWrap w:val="0"/>
            <w:vAlign w:val="center"/>
          </w:tcPr>
          <w:p w14:paraId="1FFDA69C">
            <w:pPr>
              <w:spacing w:line="360" w:lineRule="auto"/>
              <w:rPr>
                <w:rFonts w:hint="eastAsia" w:ascii="黑体" w:hAnsi="黑体" w:eastAsia="黑体" w:cs="黑体"/>
                <w:color w:val="auto"/>
                <w:sz w:val="22"/>
                <w:szCs w:val="22"/>
                <w:lang w:val="en-US" w:eastAsia="zh-CN"/>
              </w:rPr>
            </w:pPr>
          </w:p>
        </w:tc>
        <w:tc>
          <w:tcPr>
            <w:tcW w:w="6888" w:type="dxa"/>
            <w:noWrap w:val="0"/>
            <w:vAlign w:val="center"/>
          </w:tcPr>
          <w:p w14:paraId="1F75CDEB">
            <w:pPr>
              <w:spacing w:line="360" w:lineRule="auto"/>
              <w:rPr>
                <w:rFonts w:hint="eastAsia" w:ascii="黑体" w:hAnsi="黑体" w:eastAsia="黑体" w:cs="黑体"/>
                <w:color w:val="auto"/>
                <w:sz w:val="22"/>
                <w:szCs w:val="22"/>
                <w:lang w:val="en-US" w:eastAsia="zh-CN"/>
              </w:rPr>
            </w:pPr>
            <w:r>
              <w:rPr>
                <w:rFonts w:hint="eastAsia" w:ascii="黑体" w:hAnsi="黑体" w:eastAsia="黑体" w:cs="黑体"/>
                <w:color w:val="auto"/>
                <w:sz w:val="22"/>
                <w:szCs w:val="22"/>
                <w:lang w:val="en-US" w:eastAsia="zh-CN"/>
              </w:rPr>
              <w:t>供应商参加政府采购活动前三年内，在经营活动中没有重大违法记录</w:t>
            </w:r>
          </w:p>
        </w:tc>
      </w:tr>
      <w:tr w14:paraId="094B4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jc w:val="center"/>
        </w:trPr>
        <w:tc>
          <w:tcPr>
            <w:tcW w:w="1011" w:type="dxa"/>
            <w:vMerge w:val="continue"/>
            <w:noWrap w:val="0"/>
            <w:vAlign w:val="center"/>
          </w:tcPr>
          <w:p w14:paraId="100ACB06">
            <w:pPr>
              <w:spacing w:line="360" w:lineRule="auto"/>
              <w:jc w:val="center"/>
              <w:rPr>
                <w:rFonts w:hint="eastAsia" w:ascii="黑体" w:hAnsi="黑体" w:eastAsia="黑体" w:cs="黑体"/>
                <w:color w:val="auto"/>
                <w:sz w:val="21"/>
                <w:szCs w:val="21"/>
              </w:rPr>
            </w:pPr>
          </w:p>
        </w:tc>
        <w:tc>
          <w:tcPr>
            <w:tcW w:w="1759" w:type="dxa"/>
            <w:noWrap w:val="0"/>
            <w:vAlign w:val="center"/>
          </w:tcPr>
          <w:p w14:paraId="451EBED7">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信誉</w:t>
            </w:r>
            <w:r>
              <w:rPr>
                <w:rFonts w:hint="eastAsia" w:ascii="黑体" w:hAnsi="黑体" w:eastAsia="黑体" w:cs="黑体"/>
                <w:color w:val="auto"/>
                <w:sz w:val="21"/>
                <w:szCs w:val="21"/>
              </w:rPr>
              <w:t>要求</w:t>
            </w:r>
          </w:p>
        </w:tc>
        <w:tc>
          <w:tcPr>
            <w:tcW w:w="6888" w:type="dxa"/>
            <w:noWrap w:val="0"/>
            <w:vAlign w:val="center"/>
          </w:tcPr>
          <w:p w14:paraId="5979E764">
            <w:pPr>
              <w:spacing w:line="360" w:lineRule="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1.在“信用中国”中未被列入失信被执行人名单。</w:t>
            </w:r>
          </w:p>
          <w:p w14:paraId="35089F23">
            <w:pPr>
              <w:spacing w:line="360" w:lineRule="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2.在“国家企业信用信息公示系统”中未被列入严重违法失信名单；</w:t>
            </w:r>
          </w:p>
          <w:p w14:paraId="5CA3BC4A">
            <w:pPr>
              <w:spacing w:line="360" w:lineRule="auto"/>
              <w:rPr>
                <w:rFonts w:hint="eastAsia" w:ascii="黑体" w:hAnsi="黑体" w:eastAsia="黑体" w:cs="黑体"/>
                <w:color w:val="auto"/>
                <w:sz w:val="22"/>
                <w:szCs w:val="22"/>
                <w:lang w:val="en-US" w:eastAsia="zh-CN"/>
              </w:rPr>
            </w:pPr>
            <w:r>
              <w:rPr>
                <w:rFonts w:hint="eastAsia" w:ascii="黑体" w:hAnsi="黑体" w:eastAsia="黑体" w:cs="黑体"/>
                <w:color w:val="auto"/>
                <w:sz w:val="22"/>
                <w:szCs w:val="22"/>
                <w:highlight w:val="none"/>
                <w:lang w:val="en-US" w:eastAsia="zh-CN"/>
              </w:rPr>
              <w:t>3.在“中国政府采购网”中未被列入政府采购严重违法失信行为记录名单；</w:t>
            </w:r>
          </w:p>
        </w:tc>
      </w:tr>
      <w:tr w14:paraId="2E0C9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011" w:type="dxa"/>
            <w:vMerge w:val="restart"/>
            <w:noWrap w:val="0"/>
            <w:vAlign w:val="center"/>
          </w:tcPr>
          <w:p w14:paraId="42EC867D">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响应性评审</w:t>
            </w:r>
          </w:p>
          <w:p w14:paraId="31661E2F">
            <w:pPr>
              <w:spacing w:line="360" w:lineRule="auto"/>
              <w:jc w:val="center"/>
              <w:rPr>
                <w:rFonts w:hint="eastAsia" w:ascii="黑体" w:hAnsi="黑体" w:eastAsia="黑体" w:cs="黑体"/>
                <w:color w:val="auto"/>
                <w:sz w:val="21"/>
                <w:szCs w:val="21"/>
              </w:rPr>
            </w:pPr>
            <w:r>
              <w:rPr>
                <w:rFonts w:hint="eastAsia" w:ascii="黑体" w:hAnsi="黑体" w:eastAsia="黑体" w:cs="黑体"/>
                <w:color w:val="auto"/>
                <w:sz w:val="21"/>
                <w:szCs w:val="21"/>
              </w:rPr>
              <w:t>标准</w:t>
            </w:r>
          </w:p>
        </w:tc>
        <w:tc>
          <w:tcPr>
            <w:tcW w:w="1759" w:type="dxa"/>
            <w:noWrap w:val="0"/>
            <w:vAlign w:val="center"/>
          </w:tcPr>
          <w:p w14:paraId="30B96A79">
            <w:pPr>
              <w:spacing w:line="360" w:lineRule="auto"/>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投标内容</w:t>
            </w:r>
          </w:p>
        </w:tc>
        <w:tc>
          <w:tcPr>
            <w:tcW w:w="6888" w:type="dxa"/>
            <w:noWrap w:val="0"/>
            <w:vAlign w:val="center"/>
          </w:tcPr>
          <w:p w14:paraId="04CD61ED">
            <w:pPr>
              <w:spacing w:line="360" w:lineRule="auto"/>
              <w:rPr>
                <w:rFonts w:hint="eastAsia" w:ascii="黑体" w:hAnsi="黑体" w:eastAsia="黑体" w:cs="黑体"/>
                <w:color w:val="auto"/>
                <w:sz w:val="22"/>
                <w:szCs w:val="22"/>
                <w:lang w:val="en-US" w:eastAsia="zh-CN"/>
              </w:rPr>
            </w:pPr>
            <w:r>
              <w:rPr>
                <w:rFonts w:hint="eastAsia" w:ascii="黑体" w:hAnsi="黑体" w:eastAsia="黑体" w:cs="黑体"/>
                <w:color w:val="auto"/>
                <w:sz w:val="22"/>
                <w:szCs w:val="22"/>
                <w:lang w:val="en-US" w:eastAsia="zh-CN"/>
              </w:rPr>
              <w:t>满足竞争性磋商文件第五章供货要求</w:t>
            </w:r>
          </w:p>
        </w:tc>
      </w:tr>
      <w:tr w14:paraId="2273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011" w:type="dxa"/>
            <w:vMerge w:val="continue"/>
            <w:noWrap w:val="0"/>
            <w:vAlign w:val="center"/>
          </w:tcPr>
          <w:p w14:paraId="01177681">
            <w:pPr>
              <w:spacing w:line="360" w:lineRule="auto"/>
              <w:jc w:val="center"/>
              <w:rPr>
                <w:rFonts w:hint="eastAsia" w:ascii="黑体" w:hAnsi="黑体" w:eastAsia="黑体" w:cs="黑体"/>
                <w:color w:val="auto"/>
                <w:sz w:val="21"/>
                <w:szCs w:val="21"/>
              </w:rPr>
            </w:pPr>
          </w:p>
        </w:tc>
        <w:tc>
          <w:tcPr>
            <w:tcW w:w="1759" w:type="dxa"/>
            <w:noWrap w:val="0"/>
            <w:vAlign w:val="center"/>
          </w:tcPr>
          <w:p w14:paraId="6A04923E">
            <w:pPr>
              <w:spacing w:line="360" w:lineRule="auto"/>
              <w:jc w:val="center"/>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最高限价</w:t>
            </w:r>
          </w:p>
        </w:tc>
        <w:tc>
          <w:tcPr>
            <w:tcW w:w="6888" w:type="dxa"/>
            <w:noWrap w:val="0"/>
            <w:vAlign w:val="center"/>
          </w:tcPr>
          <w:p w14:paraId="2B048BEE">
            <w:pPr>
              <w:spacing w:line="360" w:lineRule="auto"/>
              <w:rPr>
                <w:rFonts w:hint="eastAsia" w:ascii="黑体" w:hAnsi="黑体" w:eastAsia="黑体" w:cs="黑体"/>
                <w:color w:val="auto"/>
                <w:sz w:val="22"/>
                <w:szCs w:val="22"/>
                <w:lang w:val="en-US" w:eastAsia="zh-CN"/>
              </w:rPr>
            </w:pPr>
            <w:r>
              <w:rPr>
                <w:rFonts w:hint="eastAsia" w:ascii="黑体" w:hAnsi="黑体" w:eastAsia="黑体" w:cs="黑体"/>
                <w:color w:val="auto"/>
                <w:sz w:val="22"/>
                <w:szCs w:val="22"/>
                <w:lang w:val="en-US" w:eastAsia="zh-CN"/>
              </w:rPr>
              <w:t>本项目最高限价为450000元，其中气相色谱仪最高限价为265000元，库仑法卡尔费休水份仪最高限价为160000元，便携式水质色度仪最高限价为15000元，煤中碳酸盐二氧化碳含量测定仪最高限价为10000元。</w:t>
            </w:r>
          </w:p>
        </w:tc>
      </w:tr>
      <w:tr w14:paraId="27924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top"/>
          </w:tcPr>
          <w:p w14:paraId="2090FA50">
            <w:pPr>
              <w:spacing w:line="360" w:lineRule="auto"/>
              <w:rPr>
                <w:rFonts w:hint="eastAsia" w:ascii="黑体" w:hAnsi="黑体" w:eastAsia="黑体" w:cs="黑体"/>
                <w:color w:val="auto"/>
                <w:sz w:val="21"/>
                <w:szCs w:val="21"/>
              </w:rPr>
            </w:pPr>
          </w:p>
        </w:tc>
        <w:tc>
          <w:tcPr>
            <w:tcW w:w="1759" w:type="dxa"/>
            <w:noWrap w:val="0"/>
            <w:vAlign w:val="center"/>
          </w:tcPr>
          <w:p w14:paraId="45BF9EB5">
            <w:pPr>
              <w:spacing w:line="360" w:lineRule="auto"/>
              <w:jc w:val="center"/>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2"/>
                <w:szCs w:val="22"/>
                <w:highlight w:val="none"/>
                <w:lang w:eastAsia="zh-CN"/>
              </w:rPr>
              <w:t>交货及安装周期</w:t>
            </w:r>
          </w:p>
        </w:tc>
        <w:tc>
          <w:tcPr>
            <w:tcW w:w="6888" w:type="dxa"/>
            <w:noWrap w:val="0"/>
            <w:vAlign w:val="center"/>
          </w:tcPr>
          <w:p w14:paraId="7624A427">
            <w:pPr>
              <w:pStyle w:val="14"/>
              <w:tabs>
                <w:tab w:val="left" w:pos="2412"/>
              </w:tabs>
              <w:spacing w:after="0" w:afterAutospacing="0" w:line="360" w:lineRule="auto"/>
              <w:ind w:right="118"/>
              <w:jc w:val="left"/>
              <w:rPr>
                <w:rFonts w:hint="default" w:ascii="黑体" w:hAnsi="黑体" w:eastAsia="黑体" w:cs="黑体"/>
                <w:color w:val="auto"/>
                <w:kern w:val="2"/>
                <w:sz w:val="22"/>
                <w:szCs w:val="22"/>
                <w:highlight w:val="none"/>
                <w:lang w:val="en-US" w:eastAsia="zh-CN" w:bidi="ar-SA"/>
              </w:rPr>
            </w:pPr>
            <w:r>
              <w:rPr>
                <w:rFonts w:hint="eastAsia" w:ascii="黑体" w:hAnsi="黑体" w:eastAsia="黑体" w:cs="黑体"/>
                <w:color w:val="auto"/>
                <w:kern w:val="2"/>
                <w:sz w:val="22"/>
                <w:szCs w:val="22"/>
                <w:highlight w:val="none"/>
                <w:lang w:val="en-US" w:eastAsia="zh-CN" w:bidi="ar-SA"/>
              </w:rPr>
              <w:t>45日历天</w:t>
            </w:r>
          </w:p>
        </w:tc>
      </w:tr>
      <w:tr w14:paraId="13C76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top"/>
          </w:tcPr>
          <w:p w14:paraId="3E430B97">
            <w:pPr>
              <w:spacing w:line="360" w:lineRule="auto"/>
              <w:rPr>
                <w:rFonts w:hint="eastAsia" w:ascii="黑体" w:hAnsi="黑体" w:eastAsia="黑体" w:cs="黑体"/>
                <w:color w:val="auto"/>
                <w:sz w:val="21"/>
                <w:szCs w:val="21"/>
              </w:rPr>
            </w:pPr>
          </w:p>
        </w:tc>
        <w:tc>
          <w:tcPr>
            <w:tcW w:w="1759" w:type="dxa"/>
            <w:noWrap w:val="0"/>
            <w:vAlign w:val="center"/>
          </w:tcPr>
          <w:p w14:paraId="401B772C">
            <w:pPr>
              <w:spacing w:line="360" w:lineRule="auto"/>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交货地点</w:t>
            </w:r>
          </w:p>
        </w:tc>
        <w:tc>
          <w:tcPr>
            <w:tcW w:w="6888" w:type="dxa"/>
            <w:noWrap w:val="0"/>
            <w:vAlign w:val="center"/>
          </w:tcPr>
          <w:p w14:paraId="0D27D8D7">
            <w:pPr>
              <w:spacing w:line="360" w:lineRule="auto"/>
              <w:rPr>
                <w:rFonts w:hint="eastAsia" w:ascii="黑体" w:hAnsi="黑体" w:eastAsia="黑体" w:cs="黑体"/>
                <w:color w:val="auto"/>
                <w:kern w:val="2"/>
                <w:sz w:val="22"/>
                <w:szCs w:val="22"/>
                <w:lang w:val="en-US" w:eastAsia="zh-CN" w:bidi="ar-SA"/>
              </w:rPr>
            </w:pPr>
            <w:r>
              <w:rPr>
                <w:rFonts w:hint="eastAsia" w:ascii="黑体" w:hAnsi="黑体" w:eastAsia="黑体" w:cs="黑体"/>
                <w:color w:val="auto"/>
                <w:kern w:val="2"/>
                <w:sz w:val="22"/>
                <w:szCs w:val="22"/>
                <w:lang w:val="en-US" w:eastAsia="zh-CN" w:bidi="ar-SA"/>
              </w:rPr>
              <w:t>乌海市</w:t>
            </w:r>
          </w:p>
        </w:tc>
      </w:tr>
      <w:tr w14:paraId="14B75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011" w:type="dxa"/>
            <w:vMerge w:val="continue"/>
            <w:noWrap w:val="0"/>
            <w:vAlign w:val="top"/>
          </w:tcPr>
          <w:p w14:paraId="7556EC36">
            <w:pPr>
              <w:spacing w:line="360" w:lineRule="auto"/>
              <w:rPr>
                <w:rFonts w:hint="eastAsia" w:ascii="黑体" w:hAnsi="黑体" w:eastAsia="黑体" w:cs="黑体"/>
                <w:color w:val="auto"/>
                <w:sz w:val="21"/>
                <w:szCs w:val="21"/>
              </w:rPr>
            </w:pPr>
          </w:p>
        </w:tc>
        <w:tc>
          <w:tcPr>
            <w:tcW w:w="1759" w:type="dxa"/>
            <w:noWrap w:val="0"/>
            <w:vAlign w:val="center"/>
          </w:tcPr>
          <w:p w14:paraId="5650D3C2">
            <w:pPr>
              <w:spacing w:line="360" w:lineRule="auto"/>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技术参数</w:t>
            </w:r>
          </w:p>
        </w:tc>
        <w:tc>
          <w:tcPr>
            <w:tcW w:w="6888" w:type="dxa"/>
            <w:noWrap w:val="0"/>
            <w:vAlign w:val="center"/>
          </w:tcPr>
          <w:p w14:paraId="5C314EE6">
            <w:pPr>
              <w:spacing w:line="360" w:lineRule="auto"/>
              <w:rPr>
                <w:rFonts w:hint="eastAsia" w:ascii="黑体" w:hAnsi="黑体" w:eastAsia="黑体" w:cs="黑体"/>
                <w:color w:val="auto"/>
                <w:kern w:val="2"/>
                <w:sz w:val="22"/>
                <w:szCs w:val="22"/>
                <w:lang w:val="en-US" w:eastAsia="zh-CN" w:bidi="ar-SA"/>
              </w:rPr>
            </w:pPr>
            <w:r>
              <w:rPr>
                <w:rFonts w:hint="eastAsia" w:ascii="黑体" w:hAnsi="黑体" w:eastAsia="黑体" w:cs="黑体"/>
                <w:color w:val="auto"/>
                <w:kern w:val="2"/>
                <w:sz w:val="22"/>
                <w:szCs w:val="22"/>
                <w:lang w:val="en-US" w:eastAsia="zh-CN" w:bidi="ar-SA"/>
              </w:rPr>
              <w:t>满足竞争性磋商文件第五章供货要求</w:t>
            </w:r>
          </w:p>
        </w:tc>
      </w:tr>
      <w:tr w14:paraId="1197A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011" w:type="dxa"/>
            <w:vMerge w:val="continue"/>
            <w:noWrap w:val="0"/>
            <w:vAlign w:val="top"/>
          </w:tcPr>
          <w:p w14:paraId="07FE43B7">
            <w:pPr>
              <w:spacing w:line="360" w:lineRule="auto"/>
              <w:rPr>
                <w:rFonts w:hint="eastAsia" w:ascii="黑体" w:hAnsi="黑体" w:eastAsia="黑体" w:cs="黑体"/>
                <w:color w:val="auto"/>
                <w:sz w:val="21"/>
                <w:szCs w:val="21"/>
              </w:rPr>
            </w:pPr>
          </w:p>
        </w:tc>
        <w:tc>
          <w:tcPr>
            <w:tcW w:w="1759" w:type="dxa"/>
            <w:noWrap w:val="0"/>
            <w:vAlign w:val="center"/>
          </w:tcPr>
          <w:p w14:paraId="650A29C1">
            <w:pPr>
              <w:spacing w:line="360" w:lineRule="auto"/>
              <w:jc w:val="center"/>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质量要求</w:t>
            </w:r>
          </w:p>
        </w:tc>
        <w:tc>
          <w:tcPr>
            <w:tcW w:w="6888" w:type="dxa"/>
            <w:noWrap w:val="0"/>
            <w:vAlign w:val="center"/>
          </w:tcPr>
          <w:p w14:paraId="66328A0F">
            <w:pPr>
              <w:pStyle w:val="14"/>
              <w:tabs>
                <w:tab w:val="left" w:pos="2412"/>
              </w:tabs>
              <w:spacing w:line="360" w:lineRule="auto"/>
              <w:ind w:right="118"/>
              <w:jc w:val="left"/>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符合国家、行业质量合格标准</w:t>
            </w:r>
          </w:p>
        </w:tc>
      </w:tr>
      <w:tr w14:paraId="0393C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011" w:type="dxa"/>
            <w:vMerge w:val="continue"/>
            <w:noWrap w:val="0"/>
            <w:vAlign w:val="top"/>
          </w:tcPr>
          <w:p w14:paraId="7B5E73E8">
            <w:pPr>
              <w:spacing w:line="360" w:lineRule="auto"/>
              <w:rPr>
                <w:rFonts w:hint="eastAsia" w:ascii="黑体" w:hAnsi="黑体" w:eastAsia="黑体" w:cs="黑体"/>
                <w:color w:val="auto"/>
                <w:sz w:val="21"/>
                <w:szCs w:val="21"/>
              </w:rPr>
            </w:pPr>
          </w:p>
        </w:tc>
        <w:tc>
          <w:tcPr>
            <w:tcW w:w="1759" w:type="dxa"/>
            <w:noWrap w:val="0"/>
            <w:vAlign w:val="center"/>
          </w:tcPr>
          <w:p w14:paraId="5FAF1AC4">
            <w:pPr>
              <w:spacing w:line="360" w:lineRule="auto"/>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质保期</w:t>
            </w:r>
          </w:p>
        </w:tc>
        <w:tc>
          <w:tcPr>
            <w:tcW w:w="6888" w:type="dxa"/>
            <w:noWrap w:val="0"/>
            <w:vAlign w:val="center"/>
          </w:tcPr>
          <w:p w14:paraId="2A7D04C0">
            <w:pPr>
              <w:spacing w:line="360" w:lineRule="auto"/>
              <w:jc w:val="left"/>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一年</w:t>
            </w:r>
          </w:p>
        </w:tc>
      </w:tr>
      <w:tr w14:paraId="2B1F1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011" w:type="dxa"/>
            <w:vMerge w:val="continue"/>
            <w:noWrap w:val="0"/>
            <w:vAlign w:val="top"/>
          </w:tcPr>
          <w:p w14:paraId="4EA4F287">
            <w:pPr>
              <w:spacing w:line="360" w:lineRule="auto"/>
              <w:rPr>
                <w:rFonts w:hint="eastAsia" w:ascii="黑体" w:hAnsi="黑体" w:eastAsia="黑体" w:cs="黑体"/>
                <w:color w:val="auto"/>
                <w:sz w:val="21"/>
                <w:szCs w:val="21"/>
              </w:rPr>
            </w:pPr>
          </w:p>
        </w:tc>
        <w:tc>
          <w:tcPr>
            <w:tcW w:w="1759" w:type="dxa"/>
            <w:noWrap w:val="0"/>
            <w:vAlign w:val="center"/>
          </w:tcPr>
          <w:p w14:paraId="7CB00D62">
            <w:pPr>
              <w:spacing w:line="360" w:lineRule="auto"/>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磋商有效期</w:t>
            </w:r>
          </w:p>
        </w:tc>
        <w:tc>
          <w:tcPr>
            <w:tcW w:w="6888" w:type="dxa"/>
            <w:noWrap w:val="0"/>
            <w:vAlign w:val="center"/>
          </w:tcPr>
          <w:p w14:paraId="65BB87C7">
            <w:pPr>
              <w:spacing w:line="360" w:lineRule="auto"/>
              <w:jc w:val="left"/>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90日历天</w:t>
            </w:r>
          </w:p>
        </w:tc>
      </w:tr>
    </w:tbl>
    <w:p w14:paraId="442BE9C3">
      <w:pPr>
        <w:pStyle w:val="4"/>
        <w:ind w:right="0"/>
        <w:jc w:val="center"/>
        <w:rPr>
          <w:rFonts w:hint="eastAsia" w:ascii="黑体" w:hAnsi="黑体" w:eastAsia="黑体" w:cs="黑体"/>
          <w:b w:val="0"/>
          <w:bCs w:val="0"/>
          <w:spacing w:val="2"/>
          <w:w w:val="100"/>
          <w:lang w:val="en-US" w:eastAsia="zh-CN"/>
        </w:rPr>
      </w:pPr>
      <w:bookmarkStart w:id="314" w:name="_Toc29042"/>
      <w:r>
        <w:rPr>
          <w:rFonts w:hint="eastAsia" w:ascii="黑体" w:hAnsi="黑体" w:eastAsia="黑体" w:cs="黑体"/>
          <w:b w:val="0"/>
          <w:bCs w:val="0"/>
          <w:spacing w:val="2"/>
          <w:w w:val="100"/>
          <w:lang w:val="en-US" w:eastAsia="zh-CN"/>
        </w:rPr>
        <w:t>2、评分细则</w:t>
      </w:r>
      <w:bookmarkEnd w:id="314"/>
    </w:p>
    <w:tbl>
      <w:tblPr>
        <w:tblStyle w:val="39"/>
        <w:tblW w:w="9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55"/>
        <w:gridCol w:w="2173"/>
        <w:gridCol w:w="5562"/>
      </w:tblGrid>
      <w:tr w14:paraId="5F4F3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963" w:type="dxa"/>
            <w:gridSpan w:val="2"/>
            <w:tcBorders>
              <w:top w:val="single" w:color="auto" w:sz="4" w:space="0"/>
              <w:left w:val="single" w:color="auto" w:sz="4" w:space="0"/>
              <w:bottom w:val="single" w:color="auto" w:sz="4" w:space="0"/>
              <w:right w:val="single" w:color="auto" w:sz="4" w:space="0"/>
            </w:tcBorders>
            <w:noWrap w:val="0"/>
            <w:vAlign w:val="center"/>
          </w:tcPr>
          <w:p w14:paraId="32D4CA01">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条款号</w:t>
            </w:r>
          </w:p>
        </w:tc>
        <w:tc>
          <w:tcPr>
            <w:tcW w:w="2173" w:type="dxa"/>
            <w:tcBorders>
              <w:top w:val="single" w:color="auto" w:sz="4" w:space="0"/>
              <w:left w:val="single" w:color="auto" w:sz="4" w:space="0"/>
              <w:bottom w:val="single" w:color="auto" w:sz="4" w:space="0"/>
              <w:right w:val="single" w:color="auto" w:sz="4" w:space="0"/>
            </w:tcBorders>
            <w:noWrap w:val="0"/>
            <w:vAlign w:val="center"/>
          </w:tcPr>
          <w:p w14:paraId="05434CF6">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条款因素</w:t>
            </w:r>
          </w:p>
        </w:tc>
        <w:tc>
          <w:tcPr>
            <w:tcW w:w="5562" w:type="dxa"/>
            <w:tcBorders>
              <w:top w:val="single" w:color="auto" w:sz="4" w:space="0"/>
              <w:left w:val="single" w:color="auto" w:sz="4" w:space="0"/>
              <w:bottom w:val="single" w:color="auto" w:sz="4" w:space="0"/>
              <w:right w:val="single" w:color="auto" w:sz="4" w:space="0"/>
            </w:tcBorders>
            <w:noWrap w:val="0"/>
            <w:vAlign w:val="center"/>
          </w:tcPr>
          <w:p w14:paraId="7A29EB3D">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编列内容</w:t>
            </w:r>
          </w:p>
        </w:tc>
      </w:tr>
      <w:tr w14:paraId="3C493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1963" w:type="dxa"/>
            <w:gridSpan w:val="2"/>
            <w:tcBorders>
              <w:top w:val="single" w:color="auto" w:sz="4" w:space="0"/>
              <w:left w:val="single" w:color="auto" w:sz="4" w:space="0"/>
              <w:bottom w:val="single" w:color="auto" w:sz="4" w:space="0"/>
              <w:right w:val="single" w:color="auto" w:sz="4" w:space="0"/>
            </w:tcBorders>
            <w:noWrap w:val="0"/>
            <w:vAlign w:val="center"/>
          </w:tcPr>
          <w:p w14:paraId="4FEE0695">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2.2.1</w:t>
            </w:r>
          </w:p>
        </w:tc>
        <w:tc>
          <w:tcPr>
            <w:tcW w:w="2173" w:type="dxa"/>
            <w:tcBorders>
              <w:top w:val="single" w:color="auto" w:sz="4" w:space="0"/>
              <w:left w:val="single" w:color="auto" w:sz="4" w:space="0"/>
              <w:bottom w:val="single" w:color="auto" w:sz="4" w:space="0"/>
              <w:right w:val="single" w:color="auto" w:sz="4" w:space="0"/>
            </w:tcBorders>
            <w:noWrap w:val="0"/>
            <w:vAlign w:val="center"/>
          </w:tcPr>
          <w:p w14:paraId="2342EA79">
            <w:pPr>
              <w:spacing w:line="360" w:lineRule="auto"/>
              <w:jc w:val="center"/>
              <w:rPr>
                <w:rFonts w:hint="eastAsia" w:ascii="黑体" w:hAnsi="黑体" w:eastAsia="黑体" w:cs="黑体"/>
                <w:bCs/>
                <w:color w:val="auto"/>
                <w:sz w:val="21"/>
                <w:szCs w:val="21"/>
              </w:rPr>
            </w:pPr>
            <w:r>
              <w:rPr>
                <w:rFonts w:hint="eastAsia" w:ascii="黑体" w:hAnsi="黑体" w:eastAsia="黑体" w:cs="黑体"/>
                <w:bCs/>
                <w:color w:val="auto"/>
                <w:sz w:val="21"/>
                <w:szCs w:val="21"/>
              </w:rPr>
              <w:t>分值构成</w:t>
            </w:r>
          </w:p>
          <w:p w14:paraId="2B2A97D4">
            <w:pPr>
              <w:spacing w:line="360" w:lineRule="auto"/>
              <w:jc w:val="center"/>
              <w:rPr>
                <w:rFonts w:hint="eastAsia" w:ascii="黑体" w:hAnsi="黑体" w:eastAsia="黑体" w:cs="黑体"/>
                <w:bCs/>
                <w:color w:val="auto"/>
                <w:sz w:val="21"/>
                <w:szCs w:val="21"/>
              </w:rPr>
            </w:pPr>
            <w:r>
              <w:rPr>
                <w:rFonts w:hint="eastAsia" w:ascii="黑体" w:hAnsi="黑体" w:eastAsia="黑体" w:cs="黑体"/>
                <w:bCs/>
                <w:color w:val="auto"/>
                <w:sz w:val="21"/>
                <w:szCs w:val="21"/>
              </w:rPr>
              <w:t>(总分100分)</w:t>
            </w:r>
          </w:p>
        </w:tc>
        <w:tc>
          <w:tcPr>
            <w:tcW w:w="5562" w:type="dxa"/>
            <w:tcBorders>
              <w:top w:val="single" w:color="auto" w:sz="4" w:space="0"/>
              <w:left w:val="single" w:color="auto" w:sz="4" w:space="0"/>
              <w:bottom w:val="single" w:color="auto" w:sz="4" w:space="0"/>
              <w:right w:val="single" w:color="auto" w:sz="4" w:space="0"/>
            </w:tcBorders>
            <w:noWrap w:val="0"/>
            <w:vAlign w:val="center"/>
          </w:tcPr>
          <w:p w14:paraId="0745C536">
            <w:pPr>
              <w:spacing w:line="360" w:lineRule="auto"/>
              <w:rPr>
                <w:rFonts w:hint="eastAsia" w:ascii="黑体" w:hAnsi="黑体" w:eastAsia="黑体" w:cs="黑体"/>
                <w:bCs/>
                <w:color w:val="auto"/>
                <w:sz w:val="21"/>
                <w:szCs w:val="21"/>
                <w:highlight w:val="none"/>
                <w:lang w:eastAsia="zh-CN"/>
              </w:rPr>
            </w:pPr>
            <w:r>
              <w:rPr>
                <w:rFonts w:hint="eastAsia" w:ascii="黑体" w:hAnsi="黑体" w:eastAsia="黑体" w:cs="黑体"/>
                <w:bCs/>
                <w:color w:val="auto"/>
                <w:sz w:val="21"/>
                <w:szCs w:val="21"/>
                <w:highlight w:val="none"/>
                <w:lang w:eastAsia="zh-CN"/>
              </w:rPr>
              <w:t>投标报价：</w:t>
            </w:r>
            <w:r>
              <w:rPr>
                <w:rFonts w:hint="eastAsia" w:ascii="黑体" w:hAnsi="黑体" w:eastAsia="黑体" w:cs="黑体"/>
                <w:bCs/>
                <w:color w:val="auto"/>
                <w:sz w:val="21"/>
                <w:szCs w:val="21"/>
                <w:highlight w:val="none"/>
                <w:lang w:val="en-US" w:eastAsia="zh-CN"/>
              </w:rPr>
              <w:t>60</w:t>
            </w:r>
            <w:r>
              <w:rPr>
                <w:rFonts w:hint="eastAsia" w:ascii="黑体" w:hAnsi="黑体" w:eastAsia="黑体" w:cs="黑体"/>
                <w:bCs/>
                <w:color w:val="auto"/>
                <w:sz w:val="21"/>
                <w:szCs w:val="21"/>
                <w:highlight w:val="none"/>
                <w:lang w:eastAsia="zh-CN"/>
              </w:rPr>
              <w:t>分</w:t>
            </w:r>
          </w:p>
          <w:p w14:paraId="3465EC08">
            <w:pPr>
              <w:pStyle w:val="2"/>
              <w:spacing w:line="360" w:lineRule="auto"/>
              <w:rPr>
                <w:rFonts w:hint="eastAsia" w:ascii="黑体" w:hAnsi="黑体" w:eastAsia="黑体" w:cs="黑体"/>
                <w:bCs/>
                <w:color w:val="auto"/>
                <w:sz w:val="21"/>
                <w:szCs w:val="21"/>
                <w:lang w:eastAsia="zh-CN"/>
              </w:rPr>
            </w:pPr>
            <w:r>
              <w:rPr>
                <w:rFonts w:hint="eastAsia" w:ascii="黑体" w:hAnsi="黑体" w:eastAsia="黑体" w:cs="黑体"/>
                <w:color w:val="auto"/>
                <w:sz w:val="21"/>
                <w:szCs w:val="21"/>
                <w:lang w:val="en-US" w:eastAsia="zh-CN"/>
              </w:rPr>
              <w:t>技术部分</w:t>
            </w:r>
            <w:r>
              <w:rPr>
                <w:rFonts w:hint="eastAsia" w:ascii="黑体" w:hAnsi="黑体" w:eastAsia="黑体" w:cs="黑体"/>
                <w:bCs/>
                <w:color w:val="auto"/>
                <w:sz w:val="21"/>
                <w:szCs w:val="21"/>
                <w:lang w:eastAsia="zh-CN"/>
              </w:rPr>
              <w:t>：</w:t>
            </w:r>
            <w:r>
              <w:rPr>
                <w:rFonts w:hint="eastAsia" w:ascii="黑体" w:hAnsi="黑体" w:eastAsia="黑体" w:cs="黑体"/>
                <w:bCs/>
                <w:color w:val="auto"/>
                <w:sz w:val="21"/>
                <w:szCs w:val="21"/>
                <w:lang w:val="en-US" w:eastAsia="zh-CN"/>
              </w:rPr>
              <w:t>34</w:t>
            </w:r>
            <w:r>
              <w:rPr>
                <w:rFonts w:hint="eastAsia" w:ascii="黑体" w:hAnsi="黑体" w:eastAsia="黑体" w:cs="黑体"/>
                <w:bCs/>
                <w:color w:val="auto"/>
                <w:sz w:val="21"/>
                <w:szCs w:val="21"/>
                <w:lang w:eastAsia="zh-CN"/>
              </w:rPr>
              <w:t>分</w:t>
            </w:r>
          </w:p>
          <w:p w14:paraId="152AC8F7">
            <w:pPr>
              <w:pStyle w:val="2"/>
              <w:spacing w:line="360" w:lineRule="auto"/>
              <w:rPr>
                <w:rFonts w:hint="eastAsia" w:ascii="黑体" w:hAnsi="黑体" w:eastAsia="黑体" w:cs="黑体"/>
                <w:bCs/>
                <w:color w:val="auto"/>
                <w:sz w:val="21"/>
                <w:szCs w:val="21"/>
                <w:lang w:val="en-US" w:eastAsia="zh-CN"/>
              </w:rPr>
            </w:pPr>
            <w:r>
              <w:rPr>
                <w:rFonts w:hint="eastAsia" w:ascii="黑体" w:hAnsi="黑体" w:eastAsia="黑体" w:cs="黑体"/>
                <w:bCs/>
                <w:sz w:val="21"/>
                <w:szCs w:val="21"/>
                <w:lang w:eastAsia="zh-CN"/>
              </w:rPr>
              <w:t>商务部分</w:t>
            </w:r>
            <w:r>
              <w:rPr>
                <w:rFonts w:hint="eastAsia" w:ascii="黑体" w:hAnsi="黑体" w:eastAsia="黑体" w:cs="黑体"/>
                <w:bCs/>
                <w:color w:val="auto"/>
                <w:sz w:val="21"/>
                <w:szCs w:val="21"/>
                <w:highlight w:val="none"/>
                <w:lang w:eastAsia="zh-CN"/>
              </w:rPr>
              <w:t>：</w:t>
            </w:r>
            <w:r>
              <w:rPr>
                <w:rFonts w:hint="eastAsia" w:ascii="黑体" w:hAnsi="黑体" w:eastAsia="黑体" w:cs="黑体"/>
                <w:bCs/>
                <w:color w:val="auto"/>
                <w:sz w:val="21"/>
                <w:szCs w:val="21"/>
                <w:highlight w:val="none"/>
                <w:lang w:val="en-US" w:eastAsia="zh-CN"/>
              </w:rPr>
              <w:t>6分</w:t>
            </w:r>
          </w:p>
        </w:tc>
      </w:tr>
      <w:tr w14:paraId="593D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1963" w:type="dxa"/>
            <w:gridSpan w:val="2"/>
            <w:tcBorders>
              <w:top w:val="single" w:color="auto" w:sz="4" w:space="0"/>
              <w:left w:val="single" w:color="auto" w:sz="4" w:space="0"/>
              <w:right w:val="single" w:color="auto" w:sz="4" w:space="0"/>
            </w:tcBorders>
            <w:noWrap w:val="0"/>
            <w:vAlign w:val="center"/>
          </w:tcPr>
          <w:p w14:paraId="312C254A">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2.2.2</w:t>
            </w:r>
          </w:p>
        </w:tc>
        <w:tc>
          <w:tcPr>
            <w:tcW w:w="2173" w:type="dxa"/>
            <w:tcBorders>
              <w:top w:val="single" w:color="auto" w:sz="4" w:space="0"/>
              <w:left w:val="single" w:color="auto" w:sz="4" w:space="0"/>
              <w:bottom w:val="single" w:color="auto" w:sz="4" w:space="0"/>
              <w:right w:val="single" w:color="auto" w:sz="4" w:space="0"/>
            </w:tcBorders>
            <w:noWrap w:val="0"/>
            <w:vAlign w:val="center"/>
          </w:tcPr>
          <w:p w14:paraId="69D9341F">
            <w:pPr>
              <w:spacing w:line="360" w:lineRule="auto"/>
              <w:jc w:val="center"/>
              <w:rPr>
                <w:rFonts w:hint="eastAsia" w:ascii="黑体" w:hAnsi="黑体" w:eastAsia="黑体" w:cs="黑体"/>
                <w:bCs/>
                <w:color w:val="auto"/>
                <w:sz w:val="21"/>
                <w:szCs w:val="21"/>
                <w:lang w:eastAsia="zh-CN"/>
              </w:rPr>
            </w:pPr>
            <w:r>
              <w:rPr>
                <w:rFonts w:hint="eastAsia" w:ascii="黑体" w:hAnsi="黑体" w:eastAsia="黑体" w:cs="黑体"/>
                <w:bCs/>
                <w:color w:val="auto"/>
                <w:sz w:val="21"/>
                <w:szCs w:val="21"/>
                <w:lang w:eastAsia="zh-CN"/>
              </w:rPr>
              <w:t>投标（</w:t>
            </w:r>
            <w:r>
              <w:rPr>
                <w:rFonts w:hint="eastAsia" w:ascii="黑体" w:hAnsi="黑体" w:eastAsia="黑体" w:cs="黑体"/>
                <w:bCs/>
                <w:color w:val="auto"/>
                <w:sz w:val="21"/>
                <w:szCs w:val="21"/>
                <w:lang w:val="en-US" w:eastAsia="zh-CN"/>
              </w:rPr>
              <w:t>60分</w:t>
            </w:r>
            <w:r>
              <w:rPr>
                <w:rFonts w:hint="eastAsia" w:ascii="黑体" w:hAnsi="黑体" w:eastAsia="黑体" w:cs="黑体"/>
                <w:bCs/>
                <w:color w:val="auto"/>
                <w:sz w:val="21"/>
                <w:szCs w:val="21"/>
                <w:lang w:eastAsia="zh-CN"/>
              </w:rPr>
              <w:t>）</w:t>
            </w:r>
          </w:p>
        </w:tc>
        <w:tc>
          <w:tcPr>
            <w:tcW w:w="5562" w:type="dxa"/>
            <w:tcBorders>
              <w:top w:val="single" w:color="auto" w:sz="4" w:space="0"/>
              <w:left w:val="single" w:color="auto" w:sz="4" w:space="0"/>
              <w:bottom w:val="single" w:color="auto" w:sz="4" w:space="0"/>
              <w:right w:val="single" w:color="auto" w:sz="4" w:space="0"/>
            </w:tcBorders>
            <w:noWrap w:val="0"/>
            <w:vAlign w:val="center"/>
          </w:tcPr>
          <w:p w14:paraId="4DC95CD7">
            <w:pPr>
              <w:spacing w:line="360" w:lineRule="auto"/>
              <w:rPr>
                <w:rFonts w:hint="eastAsia" w:ascii="黑体" w:hAnsi="黑体" w:eastAsia="黑体" w:cs="黑体"/>
                <w:bCs/>
                <w:color w:val="auto"/>
                <w:sz w:val="21"/>
                <w:szCs w:val="21"/>
                <w:lang w:eastAsia="zh-CN"/>
              </w:rPr>
            </w:pPr>
            <w:r>
              <w:rPr>
                <w:rFonts w:hint="eastAsia" w:ascii="黑体" w:hAnsi="黑体" w:eastAsia="黑体" w:cs="黑体"/>
                <w:bCs/>
                <w:color w:val="auto"/>
                <w:sz w:val="21"/>
                <w:szCs w:val="21"/>
                <w:lang w:eastAsia="zh-CN"/>
              </w:rPr>
              <w:t>投标价格分采用低价优先法计算，即满足</w:t>
            </w:r>
            <w:r>
              <w:rPr>
                <w:rFonts w:hint="eastAsia" w:ascii="黑体" w:hAnsi="黑体" w:eastAsia="黑体" w:cs="黑体"/>
                <w:bCs/>
                <w:color w:val="auto"/>
                <w:sz w:val="21"/>
                <w:szCs w:val="21"/>
                <w:lang w:val="en-US" w:eastAsia="zh-CN"/>
              </w:rPr>
              <w:t>磋商</w:t>
            </w:r>
            <w:r>
              <w:rPr>
                <w:rFonts w:hint="eastAsia" w:ascii="黑体" w:hAnsi="黑体" w:eastAsia="黑体" w:cs="黑体"/>
                <w:bCs/>
                <w:color w:val="auto"/>
                <w:sz w:val="21"/>
                <w:szCs w:val="21"/>
                <w:lang w:eastAsia="zh-CN"/>
              </w:rPr>
              <w:t>文件要求且</w:t>
            </w:r>
            <w:r>
              <w:rPr>
                <w:rFonts w:hint="eastAsia" w:ascii="黑体" w:hAnsi="黑体" w:eastAsia="黑体" w:cs="黑体"/>
                <w:bCs/>
                <w:color w:val="auto"/>
                <w:sz w:val="21"/>
                <w:szCs w:val="21"/>
                <w:lang w:val="en-US" w:eastAsia="zh-CN"/>
              </w:rPr>
              <w:t>最终</w:t>
            </w:r>
            <w:r>
              <w:rPr>
                <w:rFonts w:hint="eastAsia" w:ascii="黑体" w:hAnsi="黑体" w:eastAsia="黑体" w:cs="黑体"/>
                <w:bCs/>
                <w:color w:val="auto"/>
                <w:sz w:val="21"/>
                <w:szCs w:val="21"/>
                <w:lang w:eastAsia="zh-CN"/>
              </w:rPr>
              <w:t>投标价格最低的投标报价为评标基准价。</w:t>
            </w:r>
          </w:p>
          <w:p w14:paraId="11F02486">
            <w:pPr>
              <w:spacing w:line="360" w:lineRule="auto"/>
              <w:rPr>
                <w:rFonts w:hint="eastAsia" w:ascii="黑体" w:hAnsi="黑体" w:eastAsia="黑体" w:cs="黑体"/>
                <w:bCs/>
                <w:color w:val="auto"/>
                <w:sz w:val="21"/>
                <w:szCs w:val="21"/>
                <w:lang w:eastAsia="zh-CN"/>
              </w:rPr>
            </w:pPr>
            <w:r>
              <w:rPr>
                <w:rFonts w:hint="eastAsia" w:ascii="黑体" w:hAnsi="黑体" w:eastAsia="黑体" w:cs="黑体"/>
                <w:bCs/>
                <w:color w:val="auto"/>
                <w:sz w:val="21"/>
                <w:szCs w:val="21"/>
                <w:lang w:eastAsia="zh-CN"/>
              </w:rPr>
              <w:t>报价得分=（评标基准价÷最终报价）×</w:t>
            </w:r>
            <w:r>
              <w:rPr>
                <w:rFonts w:hint="eastAsia" w:ascii="黑体" w:hAnsi="黑体" w:eastAsia="黑体" w:cs="黑体"/>
                <w:bCs/>
                <w:color w:val="auto"/>
                <w:sz w:val="21"/>
                <w:szCs w:val="21"/>
                <w:lang w:val="en-US" w:eastAsia="zh-CN"/>
              </w:rPr>
              <w:t>60</w:t>
            </w:r>
            <w:r>
              <w:rPr>
                <w:rFonts w:hint="eastAsia" w:ascii="黑体" w:hAnsi="黑体" w:eastAsia="黑体" w:cs="黑体"/>
                <w:bCs/>
                <w:color w:val="auto"/>
                <w:sz w:val="21"/>
                <w:szCs w:val="21"/>
                <w:lang w:eastAsia="zh-CN"/>
              </w:rPr>
              <w:t>%×100</w:t>
            </w:r>
          </w:p>
        </w:tc>
      </w:tr>
      <w:tr w14:paraId="1FA78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atLeast"/>
          <w:jc w:val="center"/>
        </w:trPr>
        <w:tc>
          <w:tcPr>
            <w:tcW w:w="808" w:type="dxa"/>
            <w:vMerge w:val="restart"/>
            <w:tcBorders>
              <w:top w:val="single" w:color="auto" w:sz="4" w:space="0"/>
              <w:left w:val="single" w:color="auto" w:sz="4" w:space="0"/>
              <w:right w:val="single" w:color="auto" w:sz="4" w:space="0"/>
            </w:tcBorders>
            <w:noWrap w:val="0"/>
            <w:vAlign w:val="center"/>
          </w:tcPr>
          <w:p w14:paraId="529DB638">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2.2.</w:t>
            </w:r>
            <w:r>
              <w:rPr>
                <w:rFonts w:hint="eastAsia" w:ascii="黑体" w:hAnsi="黑体" w:eastAsia="黑体" w:cs="黑体"/>
                <w:bCs/>
                <w:sz w:val="21"/>
                <w:szCs w:val="21"/>
                <w:lang w:val="en-US" w:eastAsia="zh-CN"/>
              </w:rPr>
              <w:t>3</w:t>
            </w:r>
          </w:p>
        </w:tc>
        <w:tc>
          <w:tcPr>
            <w:tcW w:w="1155" w:type="dxa"/>
            <w:vMerge w:val="restart"/>
            <w:tcBorders>
              <w:top w:val="single" w:color="auto" w:sz="4" w:space="0"/>
              <w:left w:val="single" w:color="auto" w:sz="4" w:space="0"/>
              <w:right w:val="single" w:color="auto" w:sz="4" w:space="0"/>
            </w:tcBorders>
            <w:noWrap w:val="0"/>
            <w:vAlign w:val="center"/>
          </w:tcPr>
          <w:p w14:paraId="0926D759">
            <w:pPr>
              <w:adjustRightInd w:val="0"/>
              <w:snapToGrid w:val="0"/>
              <w:spacing w:after="0" w:line="240" w:lineRule="auto"/>
              <w:ind w:left="0" w:leftChars="0" w:right="0" w:rightChars="0"/>
              <w:jc w:val="center"/>
              <w:rPr>
                <w:rFonts w:hint="eastAsia" w:ascii="黑体" w:hAnsi="黑体" w:eastAsia="黑体" w:cs="黑体"/>
                <w:b w:val="0"/>
                <w:bCs w:val="0"/>
                <w:snapToGrid w:val="0"/>
                <w:sz w:val="21"/>
                <w:szCs w:val="21"/>
                <w:highlight w:val="none"/>
              </w:rPr>
            </w:pPr>
            <w:r>
              <w:rPr>
                <w:rFonts w:hint="eastAsia" w:ascii="黑体" w:hAnsi="黑体" w:eastAsia="黑体" w:cs="黑体"/>
                <w:b w:val="0"/>
                <w:bCs w:val="0"/>
                <w:snapToGrid w:val="0"/>
                <w:sz w:val="21"/>
                <w:szCs w:val="21"/>
                <w:highlight w:val="none"/>
              </w:rPr>
              <w:t>技术</w:t>
            </w:r>
            <w:r>
              <w:rPr>
                <w:rFonts w:hint="eastAsia" w:ascii="黑体" w:hAnsi="黑体" w:eastAsia="黑体" w:cs="黑体"/>
                <w:b w:val="0"/>
                <w:bCs w:val="0"/>
                <w:snapToGrid w:val="0"/>
                <w:sz w:val="21"/>
                <w:szCs w:val="21"/>
                <w:highlight w:val="none"/>
                <w:lang w:val="en-US" w:eastAsia="zh-CN"/>
              </w:rPr>
              <w:t>部</w:t>
            </w:r>
            <w:r>
              <w:rPr>
                <w:rFonts w:hint="eastAsia" w:ascii="黑体" w:hAnsi="黑体" w:eastAsia="黑体" w:cs="黑体"/>
                <w:b w:val="0"/>
                <w:bCs w:val="0"/>
                <w:snapToGrid w:val="0"/>
                <w:sz w:val="21"/>
                <w:szCs w:val="21"/>
                <w:highlight w:val="none"/>
              </w:rPr>
              <w:t>分</w:t>
            </w:r>
          </w:p>
          <w:p w14:paraId="5C14F3E6">
            <w:pPr>
              <w:spacing w:line="360" w:lineRule="auto"/>
              <w:jc w:val="center"/>
              <w:rPr>
                <w:rFonts w:hint="eastAsia" w:ascii="黑体" w:hAnsi="黑体" w:eastAsia="黑体" w:cs="黑体"/>
                <w:bCs/>
                <w:color w:val="auto"/>
                <w:sz w:val="21"/>
                <w:szCs w:val="21"/>
                <w:lang w:eastAsia="zh-CN"/>
              </w:rPr>
            </w:pPr>
            <w:r>
              <w:rPr>
                <w:rFonts w:hint="eastAsia" w:ascii="黑体" w:hAnsi="黑体" w:eastAsia="黑体" w:cs="黑体"/>
                <w:bCs/>
                <w:color w:val="auto"/>
                <w:sz w:val="21"/>
                <w:szCs w:val="21"/>
                <w:highlight w:val="none"/>
                <w:lang w:eastAsia="zh-CN"/>
              </w:rPr>
              <w:t>（</w:t>
            </w:r>
            <w:r>
              <w:rPr>
                <w:rFonts w:hint="eastAsia" w:ascii="黑体" w:hAnsi="黑体" w:eastAsia="黑体" w:cs="黑体"/>
                <w:bCs/>
                <w:color w:val="auto"/>
                <w:sz w:val="21"/>
                <w:szCs w:val="21"/>
                <w:highlight w:val="none"/>
                <w:lang w:val="en-US" w:eastAsia="zh-CN"/>
              </w:rPr>
              <w:t>34分</w:t>
            </w:r>
            <w:r>
              <w:rPr>
                <w:rFonts w:hint="eastAsia" w:ascii="黑体" w:hAnsi="黑体" w:eastAsia="黑体" w:cs="黑体"/>
                <w:bCs/>
                <w:color w:val="auto"/>
                <w:sz w:val="21"/>
                <w:szCs w:val="21"/>
                <w:highlight w:val="none"/>
                <w:lang w:eastAsia="zh-CN"/>
              </w:rPr>
              <w:t>）</w:t>
            </w:r>
          </w:p>
        </w:tc>
        <w:tc>
          <w:tcPr>
            <w:tcW w:w="2173" w:type="dxa"/>
            <w:tcBorders>
              <w:top w:val="single" w:color="auto" w:sz="4" w:space="0"/>
              <w:left w:val="single" w:color="auto" w:sz="4" w:space="0"/>
              <w:right w:val="single" w:color="auto" w:sz="4" w:space="0"/>
            </w:tcBorders>
            <w:noWrap w:val="0"/>
            <w:vAlign w:val="center"/>
          </w:tcPr>
          <w:p w14:paraId="24E67019">
            <w:pPr>
              <w:spacing w:line="360" w:lineRule="auto"/>
              <w:jc w:val="center"/>
              <w:rPr>
                <w:rFonts w:hint="default"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投标产品的技术参数</w:t>
            </w:r>
          </w:p>
          <w:p w14:paraId="6A16D4F4">
            <w:pPr>
              <w:spacing w:line="360" w:lineRule="auto"/>
              <w:jc w:val="center"/>
              <w:rPr>
                <w:rFonts w:hint="eastAsia"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（25分）</w:t>
            </w:r>
          </w:p>
        </w:tc>
        <w:tc>
          <w:tcPr>
            <w:tcW w:w="5562" w:type="dxa"/>
            <w:tcBorders>
              <w:top w:val="single" w:color="auto" w:sz="4" w:space="0"/>
              <w:left w:val="single" w:color="auto" w:sz="4" w:space="0"/>
              <w:right w:val="single" w:color="auto" w:sz="4" w:space="0"/>
            </w:tcBorders>
            <w:noWrap w:val="0"/>
            <w:vAlign w:val="center"/>
          </w:tcPr>
          <w:p w14:paraId="1D0CC0BA">
            <w:pPr>
              <w:keepNext w:val="0"/>
              <w:keepLines w:val="0"/>
              <w:pageBreakBefore w:val="0"/>
              <w:widowControl w:val="0"/>
              <w:numPr>
                <w:ilvl w:val="0"/>
                <w:numId w:val="3"/>
              </w:numPr>
              <w:kinsoku/>
              <w:wordWrap/>
              <w:overflowPunct/>
              <w:topLinePunct w:val="0"/>
              <w:autoSpaceDE/>
              <w:autoSpaceDN/>
              <w:bidi w:val="0"/>
              <w:adjustRightInd w:val="0"/>
              <w:snapToGrid w:val="0"/>
              <w:spacing w:after="0" w:line="400" w:lineRule="exact"/>
              <w:ind w:left="0" w:leftChars="0" w:right="0" w:rightChars="0"/>
              <w:jc w:val="both"/>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eastAsia="zh-CN"/>
              </w:rPr>
              <w:t>供应商提供</w:t>
            </w:r>
            <w:r>
              <w:rPr>
                <w:rFonts w:hint="eastAsia" w:ascii="黑体" w:hAnsi="黑体" w:eastAsia="黑体" w:cs="黑体"/>
                <w:sz w:val="21"/>
                <w:szCs w:val="21"/>
                <w:lang w:val="en-US" w:eastAsia="zh-CN"/>
              </w:rPr>
              <w:t>产品</w:t>
            </w:r>
            <w:r>
              <w:rPr>
                <w:rFonts w:hint="eastAsia" w:ascii="黑体" w:hAnsi="黑体" w:eastAsia="黑体" w:cs="黑体"/>
                <w:sz w:val="21"/>
                <w:szCs w:val="21"/>
                <w:lang w:eastAsia="zh-CN"/>
              </w:rPr>
              <w:t>整体性能、</w:t>
            </w:r>
            <w:r>
              <w:rPr>
                <w:rFonts w:hint="eastAsia" w:ascii="黑体" w:hAnsi="黑体" w:eastAsia="黑体" w:cs="黑体"/>
                <w:sz w:val="21"/>
                <w:szCs w:val="21"/>
                <w:lang w:val="en-US" w:eastAsia="zh-CN"/>
              </w:rPr>
              <w:t>功能等技术参数均能满足磋商文件要求</w:t>
            </w:r>
            <w:r>
              <w:rPr>
                <w:rFonts w:hint="eastAsia" w:ascii="黑体" w:hAnsi="黑体" w:eastAsia="黑体" w:cs="黑体"/>
                <w:szCs w:val="21"/>
              </w:rPr>
              <w:t>，得基本分</w:t>
            </w:r>
            <w:r>
              <w:rPr>
                <w:rFonts w:hint="eastAsia" w:ascii="黑体" w:hAnsi="黑体" w:eastAsia="黑体" w:cs="黑体"/>
                <w:szCs w:val="21"/>
                <w:lang w:val="en-US" w:eastAsia="zh-CN"/>
              </w:rPr>
              <w:t>25</w:t>
            </w:r>
            <w:r>
              <w:rPr>
                <w:rFonts w:hint="eastAsia" w:ascii="黑体" w:hAnsi="黑体" w:eastAsia="黑体" w:cs="黑体"/>
                <w:szCs w:val="21"/>
              </w:rPr>
              <w:t>分</w:t>
            </w:r>
            <w:r>
              <w:rPr>
                <w:rFonts w:hint="eastAsia" w:ascii="黑体" w:hAnsi="黑体" w:eastAsia="黑体" w:cs="黑体"/>
                <w:sz w:val="21"/>
                <w:szCs w:val="21"/>
                <w:lang w:val="en-US" w:eastAsia="zh-CN"/>
              </w:rPr>
              <w:t>；</w:t>
            </w:r>
          </w:p>
          <w:p w14:paraId="69D55429">
            <w:pPr>
              <w:keepNext w:val="0"/>
              <w:keepLines w:val="0"/>
              <w:pageBreakBefore w:val="0"/>
              <w:widowControl w:val="0"/>
              <w:numPr>
                <w:ilvl w:val="0"/>
                <w:numId w:val="3"/>
              </w:numPr>
              <w:kinsoku/>
              <w:wordWrap/>
              <w:overflowPunct/>
              <w:topLinePunct w:val="0"/>
              <w:autoSpaceDE/>
              <w:autoSpaceDN/>
              <w:bidi w:val="0"/>
              <w:adjustRightInd w:val="0"/>
              <w:snapToGrid w:val="0"/>
              <w:spacing w:after="0" w:line="400" w:lineRule="exact"/>
              <w:ind w:left="0" w:leftChars="0" w:right="0" w:rightChars="0" w:firstLine="0" w:firstLineChars="0"/>
              <w:jc w:val="both"/>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一般参数（ 非“</w:t>
            </w:r>
            <w:r>
              <w:rPr>
                <w:rFonts w:hint="eastAsia" w:ascii="黑体" w:hAnsi="黑体" w:eastAsia="黑体" w:cs="黑体"/>
                <w:b w:val="0"/>
                <w:bCs w:val="0"/>
                <w:sz w:val="21"/>
                <w:szCs w:val="21"/>
                <w:lang w:val="en-US" w:eastAsia="zh-CN"/>
              </w:rPr>
              <w:t>*</w:t>
            </w:r>
            <w:r>
              <w:rPr>
                <w:rFonts w:hint="eastAsia" w:ascii="黑体" w:hAnsi="黑体" w:eastAsia="黑体" w:cs="黑体"/>
                <w:sz w:val="21"/>
                <w:szCs w:val="21"/>
                <w:lang w:val="en-US" w:eastAsia="zh-CN"/>
              </w:rPr>
              <w:t>”项）每有一项不满足或负偏离扣1分，扣完为止。</w:t>
            </w:r>
          </w:p>
          <w:p w14:paraId="585018AB">
            <w:pPr>
              <w:keepNext w:val="0"/>
              <w:keepLines w:val="0"/>
              <w:pageBreakBefore w:val="0"/>
              <w:widowControl w:val="0"/>
              <w:numPr>
                <w:ilvl w:val="0"/>
                <w:numId w:val="3"/>
              </w:numPr>
              <w:kinsoku/>
              <w:wordWrap/>
              <w:overflowPunct/>
              <w:topLinePunct w:val="0"/>
              <w:autoSpaceDE/>
              <w:autoSpaceDN/>
              <w:bidi w:val="0"/>
              <w:adjustRightInd w:val="0"/>
              <w:snapToGrid w:val="0"/>
              <w:spacing w:after="0" w:line="400" w:lineRule="exact"/>
              <w:ind w:left="0" w:leftChars="0" w:right="0" w:rightChars="0" w:firstLine="0" w:firstLineChars="0"/>
              <w:jc w:val="both"/>
              <w:textAlignment w:val="auto"/>
              <w:rPr>
                <w:rFonts w:hint="eastAsia" w:ascii="黑体" w:hAnsi="黑体" w:eastAsia="黑体" w:cs="黑体"/>
                <w:kern w:val="2"/>
                <w:sz w:val="21"/>
                <w:szCs w:val="21"/>
                <w:lang w:val="en-US" w:eastAsia="zh-CN" w:bidi="ar-SA"/>
              </w:rPr>
            </w:pPr>
            <w:r>
              <w:rPr>
                <w:rFonts w:hint="eastAsia" w:ascii="黑体" w:hAnsi="黑体" w:eastAsia="黑体" w:cs="黑体"/>
                <w:sz w:val="21"/>
                <w:szCs w:val="21"/>
                <w:lang w:val="en-US" w:eastAsia="zh-CN"/>
              </w:rPr>
              <w:t>标“</w:t>
            </w:r>
            <w:r>
              <w:rPr>
                <w:rFonts w:hint="eastAsia" w:ascii="黑体" w:hAnsi="黑体" w:eastAsia="黑体" w:cs="黑体"/>
                <w:b w:val="0"/>
                <w:bCs w:val="0"/>
                <w:sz w:val="21"/>
                <w:szCs w:val="21"/>
                <w:lang w:val="en-US" w:eastAsia="zh-CN"/>
              </w:rPr>
              <w:t>*</w:t>
            </w:r>
            <w:r>
              <w:rPr>
                <w:rFonts w:hint="eastAsia" w:ascii="黑体" w:hAnsi="黑体" w:eastAsia="黑体" w:cs="黑体"/>
                <w:sz w:val="21"/>
                <w:szCs w:val="21"/>
                <w:lang w:val="en-US" w:eastAsia="zh-CN"/>
              </w:rPr>
              <w:t>"号条款为实质性条款，投标人需满足参数要求，如不满足则导致投标无效；</w:t>
            </w:r>
          </w:p>
        </w:tc>
      </w:tr>
      <w:tr w14:paraId="7C2FD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1" w:hRule="atLeast"/>
          <w:jc w:val="center"/>
        </w:trPr>
        <w:tc>
          <w:tcPr>
            <w:tcW w:w="808" w:type="dxa"/>
            <w:vMerge w:val="continue"/>
            <w:tcBorders>
              <w:left w:val="single" w:color="auto" w:sz="4" w:space="0"/>
              <w:right w:val="single" w:color="auto" w:sz="4" w:space="0"/>
            </w:tcBorders>
            <w:noWrap w:val="0"/>
            <w:vAlign w:val="center"/>
          </w:tcPr>
          <w:p w14:paraId="3333C8BD">
            <w:pPr>
              <w:spacing w:line="360" w:lineRule="auto"/>
              <w:jc w:val="center"/>
              <w:rPr>
                <w:rFonts w:hint="eastAsia" w:ascii="黑体" w:hAnsi="黑体" w:eastAsia="黑体" w:cs="黑体"/>
                <w:bCs/>
                <w:sz w:val="21"/>
                <w:szCs w:val="21"/>
              </w:rPr>
            </w:pPr>
          </w:p>
        </w:tc>
        <w:tc>
          <w:tcPr>
            <w:tcW w:w="1155" w:type="dxa"/>
            <w:vMerge w:val="continue"/>
            <w:tcBorders>
              <w:left w:val="single" w:color="auto" w:sz="4" w:space="0"/>
              <w:right w:val="single" w:color="auto" w:sz="4" w:space="0"/>
            </w:tcBorders>
            <w:noWrap w:val="0"/>
            <w:vAlign w:val="center"/>
          </w:tcPr>
          <w:p w14:paraId="64DA34B0">
            <w:pPr>
              <w:spacing w:line="360" w:lineRule="auto"/>
              <w:jc w:val="center"/>
              <w:rPr>
                <w:rFonts w:hint="eastAsia" w:ascii="黑体" w:hAnsi="黑体" w:eastAsia="黑体" w:cs="黑体"/>
                <w:bCs/>
                <w:color w:val="auto"/>
                <w:sz w:val="21"/>
                <w:szCs w:val="21"/>
                <w:lang w:eastAsia="zh-CN"/>
              </w:rPr>
            </w:pPr>
          </w:p>
        </w:tc>
        <w:tc>
          <w:tcPr>
            <w:tcW w:w="2173" w:type="dxa"/>
            <w:tcBorders>
              <w:top w:val="single" w:color="auto" w:sz="4" w:space="0"/>
              <w:left w:val="single" w:color="auto" w:sz="4" w:space="0"/>
              <w:right w:val="single" w:color="auto" w:sz="4" w:space="0"/>
            </w:tcBorders>
            <w:noWrap w:val="0"/>
            <w:vAlign w:val="center"/>
          </w:tcPr>
          <w:p w14:paraId="42EDEB30">
            <w:pPr>
              <w:spacing w:line="360" w:lineRule="auto"/>
              <w:jc w:val="center"/>
              <w:rPr>
                <w:rFonts w:hint="eastAsia"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供货及安装调试措施</w:t>
            </w:r>
          </w:p>
          <w:p w14:paraId="7FB35CD0">
            <w:pPr>
              <w:spacing w:line="360" w:lineRule="auto"/>
              <w:jc w:val="center"/>
              <w:rPr>
                <w:rFonts w:hint="eastAsia"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（3分）</w:t>
            </w:r>
          </w:p>
        </w:tc>
        <w:tc>
          <w:tcPr>
            <w:tcW w:w="5562" w:type="dxa"/>
            <w:tcBorders>
              <w:top w:val="single" w:color="auto" w:sz="4" w:space="0"/>
              <w:left w:val="single" w:color="auto" w:sz="4" w:space="0"/>
              <w:right w:val="single" w:color="auto" w:sz="4" w:space="0"/>
            </w:tcBorders>
            <w:noWrap w:val="0"/>
            <w:vAlign w:val="center"/>
          </w:tcPr>
          <w:p w14:paraId="3F6589C8">
            <w:pPr>
              <w:numPr>
                <w:ilvl w:val="0"/>
                <w:numId w:val="0"/>
              </w:numPr>
              <w:adjustRightInd w:val="0"/>
              <w:snapToGrid w:val="0"/>
              <w:spacing w:line="400" w:lineRule="exact"/>
              <w:rPr>
                <w:rFonts w:hint="eastAsia" w:ascii="黑体" w:hAnsi="黑体" w:eastAsia="黑体" w:cs="黑体"/>
                <w:szCs w:val="21"/>
                <w:lang w:val="en-US" w:eastAsia="zh-CN"/>
              </w:rPr>
            </w:pPr>
            <w:r>
              <w:rPr>
                <w:rFonts w:hint="eastAsia" w:ascii="黑体" w:hAnsi="黑体" w:eastAsia="黑体" w:cs="黑体"/>
                <w:kern w:val="2"/>
                <w:sz w:val="21"/>
                <w:szCs w:val="21"/>
                <w:lang w:val="en-US" w:eastAsia="zh-CN" w:bidi="ar-SA"/>
              </w:rPr>
              <w:t>1.整体供货方案</w:t>
            </w:r>
            <w:r>
              <w:rPr>
                <w:rFonts w:hint="eastAsia" w:ascii="黑体" w:hAnsi="黑体" w:eastAsia="黑体" w:cs="黑体"/>
                <w:szCs w:val="21"/>
              </w:rPr>
              <w:t>详细</w:t>
            </w:r>
            <w:r>
              <w:rPr>
                <w:rFonts w:hint="eastAsia" w:ascii="黑体" w:hAnsi="黑体" w:eastAsia="黑体" w:cs="黑体"/>
                <w:szCs w:val="21"/>
                <w:lang w:val="en-US" w:eastAsia="zh-CN"/>
              </w:rPr>
              <w:t>合理，</w:t>
            </w:r>
            <w:r>
              <w:rPr>
                <w:rFonts w:hint="eastAsia" w:ascii="黑体" w:hAnsi="黑体" w:eastAsia="黑体" w:cs="黑体"/>
                <w:szCs w:val="21"/>
              </w:rPr>
              <w:t>得</w:t>
            </w:r>
            <w:r>
              <w:rPr>
                <w:rFonts w:hint="eastAsia" w:ascii="黑体" w:hAnsi="黑体" w:eastAsia="黑体" w:cs="黑体"/>
                <w:szCs w:val="21"/>
                <w:lang w:val="en-US" w:eastAsia="zh-CN"/>
              </w:rPr>
              <w:t>1</w:t>
            </w:r>
            <w:r>
              <w:rPr>
                <w:rFonts w:hint="eastAsia" w:ascii="黑体" w:hAnsi="黑体" w:eastAsia="黑体" w:cs="黑体"/>
                <w:szCs w:val="21"/>
              </w:rPr>
              <w:t>分，没有不得分</w:t>
            </w:r>
            <w:r>
              <w:rPr>
                <w:rFonts w:hint="eastAsia" w:ascii="黑体" w:hAnsi="黑体" w:eastAsia="黑体" w:cs="黑体"/>
                <w:szCs w:val="21"/>
                <w:lang w:val="en-US" w:eastAsia="zh-CN"/>
              </w:rPr>
              <w:t>；</w:t>
            </w:r>
          </w:p>
          <w:p w14:paraId="17179D25">
            <w:pPr>
              <w:keepNext w:val="0"/>
              <w:keepLines w:val="0"/>
              <w:pageBreakBefore w:val="0"/>
              <w:widowControl w:val="0"/>
              <w:numPr>
                <w:ilvl w:val="0"/>
                <w:numId w:val="0"/>
              </w:numPr>
              <w:kinsoku/>
              <w:wordWrap/>
              <w:overflowPunct/>
              <w:topLinePunct w:val="0"/>
              <w:autoSpaceDE/>
              <w:autoSpaceDN/>
              <w:bidi w:val="0"/>
              <w:adjustRightInd w:val="0"/>
              <w:snapToGrid w:val="0"/>
              <w:spacing w:after="0" w:line="400" w:lineRule="exact"/>
              <w:ind w:right="0" w:rightChars="0"/>
              <w:jc w:val="both"/>
              <w:textAlignment w:val="auto"/>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2.运输方案及特殊情况下的保管措施的合理行、可行性，</w:t>
            </w:r>
            <w:r>
              <w:rPr>
                <w:rFonts w:hint="eastAsia" w:ascii="黑体" w:hAnsi="黑体" w:eastAsia="黑体" w:cs="黑体"/>
                <w:szCs w:val="21"/>
              </w:rPr>
              <w:t>得</w:t>
            </w:r>
            <w:r>
              <w:rPr>
                <w:rFonts w:hint="eastAsia" w:ascii="黑体" w:hAnsi="黑体" w:eastAsia="黑体" w:cs="黑体"/>
                <w:szCs w:val="21"/>
                <w:lang w:val="en-US" w:eastAsia="zh-CN"/>
              </w:rPr>
              <w:t>1</w:t>
            </w:r>
            <w:r>
              <w:rPr>
                <w:rFonts w:hint="eastAsia" w:ascii="黑体" w:hAnsi="黑体" w:eastAsia="黑体" w:cs="黑体"/>
                <w:szCs w:val="21"/>
              </w:rPr>
              <w:t>分，没有不得分</w:t>
            </w:r>
            <w:r>
              <w:rPr>
                <w:rFonts w:hint="eastAsia" w:ascii="黑体" w:hAnsi="黑体" w:eastAsia="黑体" w:cs="黑体"/>
                <w:szCs w:val="21"/>
                <w:lang w:val="en-US" w:eastAsia="zh-CN"/>
              </w:rPr>
              <w:t>；</w:t>
            </w:r>
          </w:p>
          <w:p w14:paraId="7F27AF1C">
            <w:pPr>
              <w:keepNext w:val="0"/>
              <w:keepLines w:val="0"/>
              <w:pageBreakBefore w:val="0"/>
              <w:widowControl w:val="0"/>
              <w:numPr>
                <w:ilvl w:val="0"/>
                <w:numId w:val="0"/>
              </w:numPr>
              <w:kinsoku/>
              <w:wordWrap/>
              <w:overflowPunct/>
              <w:topLinePunct w:val="0"/>
              <w:autoSpaceDE/>
              <w:autoSpaceDN/>
              <w:bidi w:val="0"/>
              <w:adjustRightInd w:val="0"/>
              <w:snapToGrid w:val="0"/>
              <w:spacing w:after="0" w:line="400" w:lineRule="exact"/>
              <w:ind w:right="0" w:rightChars="0"/>
              <w:jc w:val="both"/>
              <w:textAlignment w:val="auto"/>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3.安装</w:t>
            </w:r>
            <w:r>
              <w:rPr>
                <w:rFonts w:hint="eastAsia" w:ascii="黑体" w:hAnsi="黑体" w:eastAsia="黑体" w:cs="黑体"/>
                <w:bCs/>
                <w:color w:val="auto"/>
                <w:sz w:val="21"/>
                <w:szCs w:val="21"/>
                <w:lang w:val="en-US" w:eastAsia="zh-CN"/>
              </w:rPr>
              <w:t>调试</w:t>
            </w:r>
            <w:r>
              <w:rPr>
                <w:rFonts w:hint="eastAsia" w:ascii="黑体" w:hAnsi="黑体" w:eastAsia="黑体" w:cs="黑体"/>
                <w:kern w:val="2"/>
                <w:sz w:val="21"/>
                <w:szCs w:val="21"/>
                <w:lang w:val="en-US" w:eastAsia="zh-CN" w:bidi="ar-SA"/>
              </w:rPr>
              <w:t>进度保证措施的合理行、可行性，</w:t>
            </w:r>
            <w:r>
              <w:rPr>
                <w:rFonts w:hint="eastAsia" w:ascii="黑体" w:hAnsi="黑体" w:eastAsia="黑体" w:cs="黑体"/>
                <w:szCs w:val="21"/>
              </w:rPr>
              <w:t>得</w:t>
            </w:r>
            <w:r>
              <w:rPr>
                <w:rFonts w:hint="eastAsia" w:ascii="黑体" w:hAnsi="黑体" w:eastAsia="黑体" w:cs="黑体"/>
                <w:szCs w:val="21"/>
                <w:lang w:val="en-US" w:eastAsia="zh-CN"/>
              </w:rPr>
              <w:t>1</w:t>
            </w:r>
            <w:r>
              <w:rPr>
                <w:rFonts w:hint="eastAsia" w:ascii="黑体" w:hAnsi="黑体" w:eastAsia="黑体" w:cs="黑体"/>
                <w:szCs w:val="21"/>
              </w:rPr>
              <w:t>分，没有不得分</w:t>
            </w:r>
            <w:r>
              <w:rPr>
                <w:rFonts w:hint="eastAsia" w:ascii="黑体" w:hAnsi="黑体" w:eastAsia="黑体" w:cs="黑体"/>
                <w:szCs w:val="21"/>
                <w:lang w:val="en-US" w:eastAsia="zh-CN"/>
              </w:rPr>
              <w:t>；</w:t>
            </w:r>
          </w:p>
        </w:tc>
      </w:tr>
      <w:tr w14:paraId="3DA4A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808" w:type="dxa"/>
            <w:vMerge w:val="continue"/>
            <w:tcBorders>
              <w:left w:val="single" w:color="auto" w:sz="4" w:space="0"/>
              <w:right w:val="single" w:color="auto" w:sz="4" w:space="0"/>
            </w:tcBorders>
            <w:noWrap w:val="0"/>
            <w:vAlign w:val="center"/>
          </w:tcPr>
          <w:p w14:paraId="2AFB9CD6">
            <w:pPr>
              <w:spacing w:line="360" w:lineRule="auto"/>
              <w:jc w:val="center"/>
              <w:rPr>
                <w:rFonts w:hint="eastAsia" w:ascii="黑体" w:hAnsi="黑体" w:eastAsia="黑体" w:cs="黑体"/>
                <w:bCs/>
                <w:sz w:val="21"/>
                <w:szCs w:val="21"/>
              </w:rPr>
            </w:pPr>
          </w:p>
        </w:tc>
        <w:tc>
          <w:tcPr>
            <w:tcW w:w="1155" w:type="dxa"/>
            <w:vMerge w:val="continue"/>
            <w:tcBorders>
              <w:left w:val="single" w:color="auto" w:sz="4" w:space="0"/>
              <w:right w:val="single" w:color="auto" w:sz="4" w:space="0"/>
            </w:tcBorders>
            <w:noWrap w:val="0"/>
            <w:vAlign w:val="center"/>
          </w:tcPr>
          <w:p w14:paraId="57DB51EA">
            <w:pPr>
              <w:spacing w:line="360" w:lineRule="auto"/>
              <w:jc w:val="center"/>
              <w:rPr>
                <w:rFonts w:hint="eastAsia" w:ascii="黑体" w:hAnsi="黑体" w:eastAsia="黑体" w:cs="黑体"/>
                <w:bCs/>
                <w:color w:val="auto"/>
                <w:sz w:val="21"/>
                <w:szCs w:val="21"/>
                <w:lang w:eastAsia="zh-CN"/>
              </w:rPr>
            </w:pPr>
          </w:p>
        </w:tc>
        <w:tc>
          <w:tcPr>
            <w:tcW w:w="2173" w:type="dxa"/>
            <w:tcBorders>
              <w:top w:val="single" w:color="auto" w:sz="4" w:space="0"/>
              <w:left w:val="single" w:color="auto" w:sz="4" w:space="0"/>
              <w:right w:val="single" w:color="auto" w:sz="4" w:space="0"/>
            </w:tcBorders>
            <w:shd w:val="clear" w:color="auto" w:fill="auto"/>
            <w:noWrap w:val="0"/>
            <w:vAlign w:val="center"/>
          </w:tcPr>
          <w:p w14:paraId="2C24D45F">
            <w:pPr>
              <w:spacing w:line="360" w:lineRule="auto"/>
              <w:jc w:val="center"/>
              <w:rPr>
                <w:rFonts w:hint="eastAsia"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技术培训方案</w:t>
            </w:r>
          </w:p>
          <w:p w14:paraId="3B08E9AC">
            <w:pPr>
              <w:spacing w:line="360" w:lineRule="auto"/>
              <w:jc w:val="center"/>
              <w:rPr>
                <w:rFonts w:hint="eastAsia" w:ascii="黑体" w:hAnsi="黑体" w:eastAsia="黑体" w:cs="黑体"/>
                <w:bCs/>
                <w:color w:val="auto"/>
                <w:kern w:val="2"/>
                <w:sz w:val="21"/>
                <w:szCs w:val="21"/>
                <w:lang w:val="en-US" w:eastAsia="zh-CN" w:bidi="ar-SA"/>
              </w:rPr>
            </w:pPr>
            <w:r>
              <w:rPr>
                <w:rFonts w:hint="eastAsia" w:ascii="黑体" w:hAnsi="黑体" w:eastAsia="黑体" w:cs="黑体"/>
                <w:bCs/>
                <w:color w:val="auto"/>
                <w:sz w:val="21"/>
                <w:szCs w:val="21"/>
                <w:lang w:val="en-US" w:eastAsia="zh-CN"/>
              </w:rPr>
              <w:t>（2分）</w:t>
            </w:r>
          </w:p>
        </w:tc>
        <w:tc>
          <w:tcPr>
            <w:tcW w:w="5562" w:type="dxa"/>
            <w:tcBorders>
              <w:top w:val="single" w:color="auto" w:sz="4" w:space="0"/>
              <w:left w:val="single" w:color="auto" w:sz="4" w:space="0"/>
              <w:right w:val="single" w:color="auto" w:sz="4" w:space="0"/>
            </w:tcBorders>
            <w:shd w:val="clear" w:color="auto" w:fill="auto"/>
            <w:noWrap w:val="0"/>
            <w:vAlign w:val="center"/>
          </w:tcPr>
          <w:p w14:paraId="4937B04F">
            <w:pPr>
              <w:adjustRightInd w:val="0"/>
              <w:snapToGrid w:val="0"/>
              <w:spacing w:line="400" w:lineRule="exact"/>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1.培训方案全面、清晰明确，合理可行，得1分，没有不得分；</w:t>
            </w:r>
          </w:p>
          <w:p w14:paraId="276C5CE9">
            <w:pPr>
              <w:adjustRightInd w:val="0"/>
              <w:snapToGrid w:val="0"/>
              <w:spacing w:line="400" w:lineRule="exact"/>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2.培训人员专业程度高，得1分，没有不得分；</w:t>
            </w:r>
          </w:p>
        </w:tc>
      </w:tr>
      <w:tr w14:paraId="0343B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8" w:hRule="atLeast"/>
          <w:jc w:val="center"/>
        </w:trPr>
        <w:tc>
          <w:tcPr>
            <w:tcW w:w="808" w:type="dxa"/>
            <w:vMerge w:val="continue"/>
            <w:tcBorders>
              <w:left w:val="single" w:color="auto" w:sz="4" w:space="0"/>
              <w:right w:val="single" w:color="auto" w:sz="4" w:space="0"/>
            </w:tcBorders>
            <w:noWrap w:val="0"/>
            <w:vAlign w:val="center"/>
          </w:tcPr>
          <w:p w14:paraId="5424E0D1">
            <w:pPr>
              <w:spacing w:line="360" w:lineRule="auto"/>
              <w:jc w:val="center"/>
              <w:rPr>
                <w:rFonts w:hint="eastAsia" w:ascii="黑体" w:hAnsi="黑体" w:eastAsia="黑体" w:cs="黑体"/>
                <w:bCs/>
                <w:sz w:val="21"/>
                <w:szCs w:val="21"/>
              </w:rPr>
            </w:pPr>
          </w:p>
        </w:tc>
        <w:tc>
          <w:tcPr>
            <w:tcW w:w="1155" w:type="dxa"/>
            <w:vMerge w:val="continue"/>
            <w:tcBorders>
              <w:left w:val="single" w:color="auto" w:sz="4" w:space="0"/>
              <w:right w:val="single" w:color="auto" w:sz="4" w:space="0"/>
            </w:tcBorders>
            <w:noWrap w:val="0"/>
            <w:vAlign w:val="center"/>
          </w:tcPr>
          <w:p w14:paraId="13ECD7A7">
            <w:pPr>
              <w:spacing w:line="360" w:lineRule="auto"/>
              <w:jc w:val="center"/>
              <w:rPr>
                <w:rFonts w:hint="eastAsia" w:ascii="黑体" w:hAnsi="黑体" w:eastAsia="黑体" w:cs="黑体"/>
                <w:bCs/>
                <w:color w:val="auto"/>
                <w:sz w:val="21"/>
                <w:szCs w:val="21"/>
                <w:lang w:eastAsia="zh-CN"/>
              </w:rPr>
            </w:pPr>
          </w:p>
        </w:tc>
        <w:tc>
          <w:tcPr>
            <w:tcW w:w="2173" w:type="dxa"/>
            <w:tcBorders>
              <w:top w:val="single" w:color="auto" w:sz="4" w:space="0"/>
              <w:left w:val="single" w:color="auto" w:sz="4" w:space="0"/>
              <w:right w:val="single" w:color="auto" w:sz="4" w:space="0"/>
            </w:tcBorders>
            <w:noWrap w:val="0"/>
            <w:vAlign w:val="center"/>
          </w:tcPr>
          <w:p w14:paraId="21A8B6A4">
            <w:pPr>
              <w:spacing w:line="360" w:lineRule="auto"/>
              <w:jc w:val="center"/>
              <w:rPr>
                <w:rFonts w:ascii="黑体" w:hAnsi="黑体" w:eastAsia="黑体" w:cs="黑体"/>
                <w:bCs/>
                <w:szCs w:val="21"/>
              </w:rPr>
            </w:pPr>
            <w:r>
              <w:rPr>
                <w:rFonts w:hint="eastAsia" w:ascii="黑体" w:hAnsi="黑体" w:eastAsia="黑体" w:cs="黑体"/>
                <w:bCs/>
                <w:szCs w:val="21"/>
              </w:rPr>
              <w:t>售后服务</w:t>
            </w:r>
          </w:p>
          <w:p w14:paraId="64392204">
            <w:pPr>
              <w:pStyle w:val="11"/>
              <w:jc w:val="center"/>
              <w:rPr>
                <w:rFonts w:hint="default" w:ascii="黑体" w:hAnsi="黑体" w:eastAsia="黑体" w:cs="黑体"/>
                <w:bCs/>
                <w:color w:val="auto"/>
                <w:kern w:val="2"/>
                <w:sz w:val="21"/>
                <w:szCs w:val="21"/>
                <w:lang w:val="en-US" w:eastAsia="zh-CN" w:bidi="ar-SA"/>
              </w:rPr>
            </w:pPr>
            <w:r>
              <w:rPr>
                <w:rFonts w:hint="eastAsia" w:ascii="黑体" w:hAnsi="黑体" w:eastAsia="黑体" w:cs="黑体"/>
                <w:bCs/>
                <w:kern w:val="2"/>
                <w:sz w:val="21"/>
                <w:szCs w:val="21"/>
                <w:lang w:val="en-US" w:eastAsia="zh-CN" w:bidi="ar-SA"/>
              </w:rPr>
              <w:t>（4分）</w:t>
            </w:r>
          </w:p>
        </w:tc>
        <w:tc>
          <w:tcPr>
            <w:tcW w:w="5562" w:type="dxa"/>
            <w:tcBorders>
              <w:top w:val="single" w:color="auto" w:sz="4" w:space="0"/>
              <w:left w:val="single" w:color="auto" w:sz="4" w:space="0"/>
              <w:right w:val="single" w:color="auto" w:sz="4" w:space="0"/>
            </w:tcBorders>
            <w:noWrap w:val="0"/>
            <w:vAlign w:val="center"/>
          </w:tcPr>
          <w:p w14:paraId="33CC32BE">
            <w:pPr>
              <w:adjustRightInd w:val="0"/>
              <w:snapToGrid w:val="0"/>
              <w:spacing w:line="400" w:lineRule="exact"/>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1.售后服务方案详细具体、可行性高（包含售后服务承诺及保证措施、售后人员配置情况及日常维护、质保等），得1分，没有不得分；</w:t>
            </w:r>
          </w:p>
          <w:p w14:paraId="058DEE52">
            <w:pPr>
              <w:adjustRightInd w:val="0"/>
              <w:snapToGrid w:val="0"/>
              <w:spacing w:line="400" w:lineRule="exact"/>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2.故障响应时间及应对措施合理，得1分，没有不得分；</w:t>
            </w:r>
          </w:p>
          <w:p w14:paraId="25DFD0FE">
            <w:pPr>
              <w:adjustRightInd w:val="0"/>
              <w:snapToGrid w:val="0"/>
              <w:spacing w:line="400" w:lineRule="exact"/>
              <w:rPr>
                <w:rFonts w:hint="default"/>
                <w:lang w:val="en-US" w:eastAsia="zh-CN"/>
              </w:rPr>
            </w:pPr>
            <w:r>
              <w:rPr>
                <w:rFonts w:hint="eastAsia" w:ascii="黑体" w:hAnsi="黑体" w:eastAsia="黑体" w:cs="黑体"/>
                <w:sz w:val="21"/>
                <w:szCs w:val="21"/>
                <w:lang w:val="en-US" w:eastAsia="zh-CN"/>
              </w:rPr>
              <w:t>3.备品备件优惠合理、供应方案可行，得2分，没有不得分；</w:t>
            </w:r>
          </w:p>
        </w:tc>
      </w:tr>
      <w:tr w14:paraId="77D4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808" w:type="dxa"/>
            <w:tcBorders>
              <w:top w:val="single" w:color="auto" w:sz="4" w:space="0"/>
              <w:left w:val="single" w:color="auto" w:sz="4" w:space="0"/>
              <w:right w:val="single" w:color="auto" w:sz="4" w:space="0"/>
            </w:tcBorders>
            <w:noWrap w:val="0"/>
            <w:vAlign w:val="center"/>
          </w:tcPr>
          <w:p w14:paraId="044A61D3">
            <w:pPr>
              <w:spacing w:line="360" w:lineRule="auto"/>
              <w:jc w:val="center"/>
              <w:rPr>
                <w:rFonts w:hint="eastAsia" w:ascii="黑体" w:hAnsi="黑体" w:eastAsia="黑体" w:cs="黑体"/>
                <w:bCs/>
                <w:sz w:val="21"/>
                <w:szCs w:val="21"/>
              </w:rPr>
            </w:pPr>
            <w:r>
              <w:rPr>
                <w:rFonts w:hint="eastAsia" w:ascii="黑体" w:hAnsi="黑体" w:eastAsia="黑体" w:cs="黑体"/>
                <w:bCs/>
                <w:sz w:val="21"/>
                <w:szCs w:val="21"/>
              </w:rPr>
              <w:t>2.2.</w:t>
            </w:r>
            <w:r>
              <w:rPr>
                <w:rFonts w:hint="eastAsia" w:ascii="黑体" w:hAnsi="黑体" w:eastAsia="黑体" w:cs="黑体"/>
                <w:bCs/>
                <w:sz w:val="21"/>
                <w:szCs w:val="21"/>
                <w:lang w:val="en-US" w:eastAsia="zh-CN"/>
              </w:rPr>
              <w:t>4</w:t>
            </w:r>
          </w:p>
        </w:tc>
        <w:tc>
          <w:tcPr>
            <w:tcW w:w="1155" w:type="dxa"/>
            <w:tcBorders>
              <w:top w:val="single" w:color="auto" w:sz="4" w:space="0"/>
              <w:left w:val="single" w:color="auto" w:sz="4" w:space="0"/>
              <w:right w:val="single" w:color="auto" w:sz="4" w:space="0"/>
            </w:tcBorders>
            <w:noWrap w:val="0"/>
            <w:vAlign w:val="center"/>
          </w:tcPr>
          <w:p w14:paraId="03CAB61E">
            <w:pPr>
              <w:spacing w:line="360" w:lineRule="auto"/>
              <w:jc w:val="center"/>
              <w:rPr>
                <w:rFonts w:hint="eastAsia" w:ascii="黑体" w:hAnsi="黑体" w:eastAsia="黑体" w:cs="黑体"/>
                <w:bCs/>
                <w:szCs w:val="21"/>
              </w:rPr>
            </w:pPr>
            <w:r>
              <w:rPr>
                <w:rFonts w:hint="eastAsia" w:ascii="黑体" w:hAnsi="黑体" w:eastAsia="黑体" w:cs="黑体"/>
                <w:bCs/>
                <w:szCs w:val="21"/>
              </w:rPr>
              <w:t>商务部分</w:t>
            </w:r>
          </w:p>
          <w:p w14:paraId="6DA916CD">
            <w:pPr>
              <w:spacing w:line="360" w:lineRule="auto"/>
              <w:jc w:val="center"/>
              <w:rPr>
                <w:rFonts w:hint="eastAsia" w:ascii="黑体" w:hAnsi="黑体" w:eastAsia="黑体" w:cs="黑体"/>
                <w:bCs/>
                <w:color w:val="auto"/>
                <w:sz w:val="21"/>
                <w:szCs w:val="21"/>
                <w:lang w:eastAsia="zh-CN"/>
              </w:rPr>
            </w:pPr>
            <w:r>
              <w:rPr>
                <w:rFonts w:hint="eastAsia" w:ascii="黑体" w:hAnsi="黑体" w:eastAsia="黑体" w:cs="黑体"/>
                <w:bCs/>
                <w:color w:val="auto"/>
                <w:sz w:val="21"/>
                <w:szCs w:val="21"/>
                <w:lang w:eastAsia="zh-CN"/>
              </w:rPr>
              <w:t>（</w:t>
            </w:r>
            <w:r>
              <w:rPr>
                <w:rFonts w:hint="eastAsia" w:ascii="黑体" w:hAnsi="黑体" w:eastAsia="黑体" w:cs="黑体"/>
                <w:bCs/>
                <w:color w:val="auto"/>
                <w:sz w:val="21"/>
                <w:szCs w:val="21"/>
                <w:lang w:val="en-US" w:eastAsia="zh-CN"/>
              </w:rPr>
              <w:t>6分</w:t>
            </w:r>
            <w:r>
              <w:rPr>
                <w:rFonts w:hint="eastAsia" w:ascii="黑体" w:hAnsi="黑体" w:eastAsia="黑体" w:cs="黑体"/>
                <w:bCs/>
                <w:color w:val="auto"/>
                <w:sz w:val="21"/>
                <w:szCs w:val="21"/>
                <w:lang w:eastAsia="zh-CN"/>
              </w:rPr>
              <w:t>）</w:t>
            </w:r>
          </w:p>
        </w:tc>
        <w:tc>
          <w:tcPr>
            <w:tcW w:w="2173" w:type="dxa"/>
            <w:tcBorders>
              <w:top w:val="single" w:color="auto" w:sz="4" w:space="0"/>
              <w:left w:val="single" w:color="auto" w:sz="4" w:space="0"/>
              <w:bottom w:val="single" w:color="auto" w:sz="4" w:space="0"/>
              <w:right w:val="single" w:color="auto" w:sz="4" w:space="0"/>
            </w:tcBorders>
            <w:noWrap w:val="0"/>
            <w:vAlign w:val="center"/>
          </w:tcPr>
          <w:p w14:paraId="33B52D6B">
            <w:pPr>
              <w:pStyle w:val="150"/>
              <w:adjustRightInd w:val="0"/>
              <w:snapToGrid w:val="0"/>
              <w:spacing w:line="360" w:lineRule="auto"/>
              <w:ind w:firstLine="630" w:firstLineChars="300"/>
              <w:rPr>
                <w:rFonts w:hint="eastAsia"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企业业绩</w:t>
            </w:r>
          </w:p>
          <w:p w14:paraId="3E7DCA71">
            <w:pPr>
              <w:pStyle w:val="150"/>
              <w:adjustRightInd w:val="0"/>
              <w:snapToGrid w:val="0"/>
              <w:spacing w:line="360" w:lineRule="auto"/>
              <w:ind w:firstLine="630" w:firstLineChars="300"/>
              <w:rPr>
                <w:rFonts w:hint="eastAsia" w:ascii="黑体" w:hAnsi="黑体" w:eastAsia="黑体" w:cs="黑体"/>
                <w:bCs/>
                <w:color w:val="auto"/>
                <w:sz w:val="21"/>
                <w:szCs w:val="21"/>
                <w:lang w:val="en-US" w:eastAsia="zh-CN"/>
              </w:rPr>
            </w:pPr>
            <w:r>
              <w:rPr>
                <w:rFonts w:hint="eastAsia" w:ascii="黑体" w:hAnsi="黑体" w:eastAsia="黑体" w:cs="黑体"/>
                <w:bCs/>
                <w:color w:val="auto"/>
                <w:sz w:val="21"/>
                <w:szCs w:val="21"/>
                <w:lang w:val="en-US" w:eastAsia="zh-CN"/>
              </w:rPr>
              <w:t>（6分）</w:t>
            </w:r>
          </w:p>
        </w:tc>
        <w:tc>
          <w:tcPr>
            <w:tcW w:w="5562" w:type="dxa"/>
            <w:tcBorders>
              <w:top w:val="single" w:color="auto" w:sz="4" w:space="0"/>
              <w:left w:val="single" w:color="auto" w:sz="4" w:space="0"/>
              <w:bottom w:val="single" w:color="auto" w:sz="4" w:space="0"/>
              <w:right w:val="single" w:color="auto" w:sz="4" w:space="0"/>
            </w:tcBorders>
            <w:noWrap w:val="0"/>
            <w:vAlign w:val="center"/>
          </w:tcPr>
          <w:p w14:paraId="075BA17B">
            <w:pPr>
              <w:pStyle w:val="150"/>
              <w:adjustRightInd w:val="0"/>
              <w:snapToGrid w:val="0"/>
              <w:spacing w:line="360" w:lineRule="auto"/>
              <w:rPr>
                <w:rFonts w:hint="eastAsia" w:ascii="黑体" w:hAnsi="黑体" w:eastAsia="黑体" w:cs="黑体"/>
                <w:bCs/>
                <w:color w:val="auto"/>
                <w:sz w:val="21"/>
                <w:szCs w:val="21"/>
              </w:rPr>
            </w:pPr>
            <w:r>
              <w:rPr>
                <w:rFonts w:hint="eastAsia" w:ascii="黑体" w:hAnsi="黑体" w:eastAsia="黑体" w:cs="黑体"/>
                <w:bCs/>
                <w:color w:val="auto"/>
                <w:sz w:val="21"/>
                <w:szCs w:val="21"/>
                <w:highlight w:val="none"/>
              </w:rPr>
              <w:t>供应商自</w:t>
            </w:r>
            <w:r>
              <w:rPr>
                <w:rFonts w:hint="eastAsia" w:ascii="黑体" w:hAnsi="黑体" w:eastAsia="黑体" w:cs="黑体"/>
                <w:bCs/>
                <w:color w:val="auto"/>
                <w:sz w:val="21"/>
                <w:szCs w:val="21"/>
                <w:highlight w:val="none"/>
                <w:lang w:val="en-US" w:eastAsia="zh-CN"/>
              </w:rPr>
              <w:t>2022</w:t>
            </w:r>
            <w:r>
              <w:rPr>
                <w:rFonts w:hint="eastAsia" w:ascii="黑体" w:hAnsi="黑体" w:eastAsia="黑体" w:cs="黑体"/>
                <w:bCs/>
                <w:color w:val="auto"/>
                <w:sz w:val="21"/>
                <w:szCs w:val="21"/>
                <w:highlight w:val="none"/>
              </w:rPr>
              <w:t>年</w:t>
            </w:r>
            <w:r>
              <w:rPr>
                <w:rFonts w:hint="eastAsia" w:ascii="黑体" w:hAnsi="黑体" w:eastAsia="黑体" w:cs="黑体"/>
                <w:bCs/>
                <w:color w:val="auto"/>
                <w:sz w:val="21"/>
                <w:szCs w:val="21"/>
                <w:highlight w:val="none"/>
                <w:lang w:val="en-US" w:eastAsia="zh-CN"/>
              </w:rPr>
              <w:t>5</w:t>
            </w:r>
            <w:r>
              <w:rPr>
                <w:rFonts w:hint="eastAsia" w:ascii="黑体" w:hAnsi="黑体" w:eastAsia="黑体" w:cs="黑体"/>
                <w:bCs/>
                <w:color w:val="auto"/>
                <w:sz w:val="21"/>
                <w:szCs w:val="21"/>
                <w:highlight w:val="none"/>
              </w:rPr>
              <w:t>月1日至今已承担的同类项目业绩</w:t>
            </w:r>
            <w:r>
              <w:rPr>
                <w:rFonts w:hint="eastAsia" w:ascii="黑体" w:hAnsi="黑体" w:eastAsia="黑体" w:cs="黑体"/>
                <w:bCs/>
                <w:color w:val="auto"/>
                <w:sz w:val="21"/>
                <w:szCs w:val="21"/>
                <w:highlight w:val="none"/>
                <w:lang w:eastAsia="zh-CN"/>
              </w:rPr>
              <w:t>（</w:t>
            </w:r>
            <w:r>
              <w:rPr>
                <w:rFonts w:hint="eastAsia" w:ascii="黑体" w:hAnsi="黑体" w:eastAsia="黑体" w:cs="黑体"/>
                <w:bCs/>
                <w:color w:val="auto"/>
                <w:sz w:val="21"/>
                <w:szCs w:val="21"/>
                <w:highlight w:val="none"/>
                <w:lang w:val="en-US" w:eastAsia="zh-CN"/>
              </w:rPr>
              <w:t>实验设备）</w:t>
            </w:r>
            <w:r>
              <w:rPr>
                <w:rFonts w:hint="eastAsia" w:ascii="黑体" w:hAnsi="黑体" w:eastAsia="黑体" w:cs="黑体"/>
                <w:bCs/>
                <w:color w:val="auto"/>
                <w:sz w:val="21"/>
                <w:szCs w:val="21"/>
                <w:highlight w:val="none"/>
              </w:rPr>
              <w:t>，每提供一份得</w:t>
            </w:r>
            <w:r>
              <w:rPr>
                <w:rFonts w:hint="eastAsia" w:ascii="黑体" w:hAnsi="黑体" w:eastAsia="黑体" w:cs="黑体"/>
                <w:bCs/>
                <w:color w:val="auto"/>
                <w:sz w:val="21"/>
                <w:szCs w:val="21"/>
                <w:highlight w:val="none"/>
                <w:lang w:val="en-US" w:eastAsia="zh-CN"/>
              </w:rPr>
              <w:t>2</w:t>
            </w:r>
            <w:r>
              <w:rPr>
                <w:rFonts w:hint="eastAsia" w:ascii="黑体" w:hAnsi="黑体" w:eastAsia="黑体" w:cs="黑体"/>
                <w:bCs/>
                <w:color w:val="auto"/>
                <w:sz w:val="21"/>
                <w:szCs w:val="21"/>
                <w:highlight w:val="none"/>
              </w:rPr>
              <w:t>分</w:t>
            </w:r>
            <w:r>
              <w:rPr>
                <w:rFonts w:hint="eastAsia" w:ascii="黑体" w:hAnsi="黑体" w:eastAsia="黑体" w:cs="黑体"/>
                <w:bCs/>
                <w:color w:val="auto"/>
                <w:sz w:val="21"/>
                <w:szCs w:val="21"/>
                <w:highlight w:val="none"/>
                <w:lang w:eastAsia="zh-CN"/>
              </w:rPr>
              <w:t>，</w:t>
            </w:r>
            <w:r>
              <w:rPr>
                <w:rFonts w:hint="eastAsia" w:ascii="黑体" w:hAnsi="黑体" w:eastAsia="黑体" w:cs="黑体"/>
                <w:bCs/>
                <w:color w:val="auto"/>
                <w:sz w:val="21"/>
                <w:szCs w:val="21"/>
                <w:highlight w:val="none"/>
              </w:rPr>
              <w:t>满分</w:t>
            </w:r>
            <w:r>
              <w:rPr>
                <w:rFonts w:hint="eastAsia" w:ascii="黑体" w:hAnsi="黑体" w:eastAsia="黑体" w:cs="黑体"/>
                <w:bCs/>
                <w:color w:val="auto"/>
                <w:sz w:val="21"/>
                <w:szCs w:val="21"/>
                <w:highlight w:val="none"/>
                <w:lang w:val="en-US" w:eastAsia="zh-CN"/>
              </w:rPr>
              <w:t>6</w:t>
            </w:r>
            <w:r>
              <w:rPr>
                <w:rFonts w:hint="eastAsia" w:ascii="黑体" w:hAnsi="黑体" w:eastAsia="黑体" w:cs="黑体"/>
                <w:bCs/>
                <w:color w:val="auto"/>
                <w:sz w:val="21"/>
                <w:szCs w:val="21"/>
                <w:highlight w:val="none"/>
              </w:rPr>
              <w:t>分。</w:t>
            </w:r>
            <w:r>
              <w:rPr>
                <w:rFonts w:hint="eastAsia" w:ascii="黑体" w:hAnsi="黑体" w:eastAsia="黑体" w:cs="黑体"/>
                <w:bCs/>
                <w:color w:val="auto"/>
                <w:sz w:val="21"/>
                <w:szCs w:val="21"/>
              </w:rPr>
              <w:t>（</w:t>
            </w:r>
            <w:r>
              <w:rPr>
                <w:rFonts w:hint="eastAsia" w:ascii="黑体" w:hAnsi="黑体" w:eastAsia="黑体" w:cs="黑体"/>
                <w:bCs/>
                <w:color w:val="auto"/>
                <w:sz w:val="21"/>
                <w:szCs w:val="21"/>
                <w:lang w:val="en-US" w:eastAsia="zh-CN"/>
              </w:rPr>
              <w:t>响应文件中应附中标通知书</w:t>
            </w:r>
            <w:r>
              <w:rPr>
                <w:rFonts w:hint="eastAsia" w:ascii="黑体" w:hAnsi="黑体" w:eastAsia="黑体" w:cs="黑体"/>
                <w:bCs/>
                <w:color w:val="auto"/>
                <w:sz w:val="21"/>
                <w:szCs w:val="21"/>
                <w:highlight w:val="none"/>
                <w:lang w:val="en-US" w:eastAsia="zh-CN"/>
              </w:rPr>
              <w:t>及合</w:t>
            </w:r>
            <w:r>
              <w:rPr>
                <w:rFonts w:hint="eastAsia" w:ascii="黑体" w:hAnsi="黑体" w:eastAsia="黑体" w:cs="黑体"/>
                <w:bCs/>
                <w:color w:val="auto"/>
                <w:sz w:val="21"/>
                <w:szCs w:val="21"/>
                <w:lang w:val="en-US" w:eastAsia="zh-CN"/>
              </w:rPr>
              <w:t>同原件的扫描件，时间以签订合同日期为准。</w:t>
            </w:r>
            <w:r>
              <w:rPr>
                <w:rFonts w:hint="eastAsia" w:ascii="黑体" w:hAnsi="黑体" w:eastAsia="黑体" w:cs="黑体"/>
                <w:bCs/>
                <w:color w:val="auto"/>
                <w:sz w:val="21"/>
                <w:szCs w:val="21"/>
              </w:rPr>
              <w:t>）</w:t>
            </w:r>
          </w:p>
        </w:tc>
      </w:tr>
    </w:tbl>
    <w:p w14:paraId="09869FF7">
      <w:pPr>
        <w:rPr>
          <w:rFonts w:hint="eastAsia" w:ascii="黑体" w:hAnsi="黑体" w:eastAsia="黑体" w:cs="黑体"/>
        </w:rPr>
      </w:pPr>
    </w:p>
    <w:p w14:paraId="03E32A5D">
      <w:pPr>
        <w:ind w:firstLine="480" w:firstLineChars="200"/>
        <w:rPr>
          <w:rFonts w:hint="eastAsia" w:ascii="黑体" w:hAnsi="黑体" w:eastAsia="黑体" w:cs="黑体"/>
          <w:sz w:val="24"/>
          <w:szCs w:val="24"/>
        </w:rPr>
      </w:pPr>
      <w:bookmarkStart w:id="315" w:name="_Toc22784"/>
      <w:bookmarkStart w:id="316" w:name="_Toc26317"/>
      <w:bookmarkStart w:id="317" w:name="_Toc24258"/>
      <w:r>
        <w:rPr>
          <w:rFonts w:hint="eastAsia" w:ascii="黑体" w:hAnsi="黑体" w:eastAsia="黑体" w:cs="黑体"/>
          <w:sz w:val="24"/>
          <w:szCs w:val="24"/>
        </w:rPr>
        <w:t>3.评审程序</w:t>
      </w:r>
      <w:bookmarkEnd w:id="315"/>
      <w:bookmarkEnd w:id="316"/>
      <w:bookmarkEnd w:id="317"/>
    </w:p>
    <w:p w14:paraId="597C9B97">
      <w:pPr>
        <w:topLinePunct/>
        <w:spacing w:line="360" w:lineRule="auto"/>
        <w:ind w:firstLine="480" w:firstLineChars="200"/>
        <w:outlineLvl w:val="2"/>
        <w:rPr>
          <w:rFonts w:hint="eastAsia" w:ascii="黑体" w:hAnsi="黑体" w:eastAsia="黑体" w:cs="黑体"/>
          <w:sz w:val="24"/>
          <w:szCs w:val="24"/>
        </w:rPr>
      </w:pPr>
      <w:bookmarkStart w:id="318" w:name="_Toc28446"/>
      <w:bookmarkStart w:id="319" w:name="_Toc16616"/>
      <w:bookmarkStart w:id="320" w:name="_Toc27777"/>
      <w:r>
        <w:rPr>
          <w:rFonts w:hint="eastAsia" w:ascii="黑体" w:hAnsi="黑体" w:eastAsia="黑体" w:cs="黑体"/>
          <w:sz w:val="24"/>
          <w:szCs w:val="24"/>
        </w:rPr>
        <w:t>3.1初步评审</w:t>
      </w:r>
      <w:bookmarkEnd w:id="318"/>
      <w:bookmarkEnd w:id="319"/>
      <w:bookmarkEnd w:id="320"/>
    </w:p>
    <w:p w14:paraId="4CE15039">
      <w:pPr>
        <w:topLinePunct/>
        <w:spacing w:line="360" w:lineRule="auto"/>
        <w:ind w:firstLine="480" w:firstLineChars="200"/>
        <w:rPr>
          <w:rFonts w:hint="eastAsia" w:ascii="黑体" w:hAnsi="黑体" w:eastAsia="黑体" w:cs="黑体"/>
          <w:b/>
          <w:sz w:val="24"/>
          <w:szCs w:val="24"/>
        </w:rPr>
      </w:pPr>
      <w:r>
        <w:rPr>
          <w:rFonts w:hint="eastAsia" w:ascii="黑体" w:hAnsi="黑体" w:eastAsia="黑体" w:cs="黑体"/>
          <w:sz w:val="24"/>
          <w:szCs w:val="24"/>
        </w:rPr>
        <w:t>3.1.1评审小组依据本章第2.1款规定的标准，对响应文件进行</w:t>
      </w:r>
      <w:r>
        <w:rPr>
          <w:rFonts w:hint="eastAsia" w:ascii="黑体" w:hAnsi="黑体" w:eastAsia="黑体" w:cs="黑体"/>
          <w:b/>
          <w:sz w:val="24"/>
          <w:szCs w:val="24"/>
        </w:rPr>
        <w:t>初步审查。有一项因素不符合审查标准的，按无效响应处理。</w:t>
      </w:r>
    </w:p>
    <w:p w14:paraId="6241A71D">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3.1.2供应商还有以下情形之一的，评审小组应当否决其竞争：</w:t>
      </w:r>
    </w:p>
    <w:p w14:paraId="3CEFD779">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（1）对不允许偏离的实质性条款，偏离磋商文件规定的偏离范围和幅度的；</w:t>
      </w:r>
    </w:p>
    <w:p w14:paraId="67721494">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（2）响应文件正副本未区分或者内容严重不一致的；</w:t>
      </w:r>
    </w:p>
    <w:p w14:paraId="451349CE">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（3）资格、资信等证明文件可以为复印件，复印件未加盖单位公章的；</w:t>
      </w:r>
    </w:p>
    <w:p w14:paraId="055FDB5D">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（4）不按评审小组要求澄清或说明的；</w:t>
      </w:r>
    </w:p>
    <w:p w14:paraId="51E12FB8">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（5）在评审过程中弄虚作假、行贿或有其他违法违规行为的。</w:t>
      </w:r>
    </w:p>
    <w:p w14:paraId="762F7CFE">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（6）串通投标或弄虚作假或有其他违法行为的；</w:t>
      </w:r>
    </w:p>
    <w:p w14:paraId="622B1B21">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w:t>
      </w:r>
      <w:r>
        <w:rPr>
          <w:rFonts w:hint="eastAsia" w:ascii="黑体" w:hAnsi="黑体" w:eastAsia="黑体" w:cs="黑体"/>
          <w:sz w:val="24"/>
          <w:szCs w:val="24"/>
          <w:lang w:val="en-US" w:eastAsia="zh-CN"/>
        </w:rPr>
        <w:t>7</w:t>
      </w:r>
      <w:r>
        <w:rPr>
          <w:rFonts w:hint="eastAsia" w:ascii="黑体" w:hAnsi="黑体" w:eastAsia="黑体" w:cs="黑体"/>
          <w:sz w:val="24"/>
          <w:szCs w:val="24"/>
        </w:rPr>
        <w:t>）响应文件没有法定代表人或授权代表签字和加盖公章；</w:t>
      </w:r>
    </w:p>
    <w:p w14:paraId="15186351">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w:t>
      </w:r>
      <w:r>
        <w:rPr>
          <w:rFonts w:hint="eastAsia" w:ascii="黑体" w:hAnsi="黑体" w:eastAsia="黑体" w:cs="黑体"/>
          <w:sz w:val="24"/>
          <w:szCs w:val="24"/>
          <w:lang w:val="en-US" w:eastAsia="zh-CN"/>
        </w:rPr>
        <w:t>8</w:t>
      </w:r>
      <w:r>
        <w:rPr>
          <w:rFonts w:hint="eastAsia" w:ascii="黑体" w:hAnsi="黑体" w:eastAsia="黑体" w:cs="黑体"/>
          <w:sz w:val="24"/>
          <w:szCs w:val="24"/>
        </w:rPr>
        <w:t>）响应文件未按磋商文件要求格式填写或主要内容不全、字迹模糊无法辨认的；</w:t>
      </w:r>
    </w:p>
    <w:p w14:paraId="6123DA0B">
      <w:pPr>
        <w:topLinePunct/>
        <w:spacing w:line="360" w:lineRule="auto"/>
        <w:ind w:firstLine="480" w:firstLineChars="200"/>
        <w:outlineLvl w:val="2"/>
        <w:rPr>
          <w:rFonts w:hint="eastAsia" w:ascii="黑体" w:hAnsi="黑体" w:eastAsia="黑体" w:cs="黑体"/>
          <w:sz w:val="24"/>
          <w:szCs w:val="24"/>
        </w:rPr>
      </w:pPr>
      <w:bookmarkStart w:id="321" w:name="_Toc25598"/>
      <w:bookmarkStart w:id="322" w:name="_Toc3971"/>
      <w:bookmarkStart w:id="323" w:name="_Toc17280"/>
      <w:r>
        <w:rPr>
          <w:rFonts w:hint="eastAsia" w:ascii="黑体" w:hAnsi="黑体" w:eastAsia="黑体" w:cs="黑体"/>
          <w:sz w:val="24"/>
          <w:szCs w:val="24"/>
        </w:rPr>
        <w:t>3.2响应文件的澄清</w:t>
      </w:r>
      <w:bookmarkEnd w:id="321"/>
      <w:bookmarkEnd w:id="322"/>
      <w:bookmarkEnd w:id="323"/>
    </w:p>
    <w:p w14:paraId="47759D55">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在评审过程中，评审小组可以书面形式，要求供应商对所提交的响应文件中不明确的内容进行必要的澄清或说明。供应商的澄清或说明采用书面形式，并不得改变供应商响应文件的实质性内容。供应商的澄清和说明内容属于响应文件的组成部分。采购人和评审小组不接受供应商主动提出的澄清或说明。</w:t>
      </w:r>
    </w:p>
    <w:p w14:paraId="7467127B">
      <w:pPr>
        <w:topLinePunct/>
        <w:spacing w:line="360" w:lineRule="auto"/>
        <w:ind w:firstLine="482" w:firstLineChars="200"/>
        <w:outlineLvl w:val="2"/>
        <w:rPr>
          <w:rFonts w:hint="eastAsia" w:ascii="黑体" w:hAnsi="黑体" w:eastAsia="黑体" w:cs="黑体"/>
          <w:b/>
          <w:bCs/>
          <w:sz w:val="24"/>
          <w:szCs w:val="24"/>
        </w:rPr>
      </w:pPr>
      <w:bookmarkStart w:id="324" w:name="_Toc12875"/>
      <w:bookmarkStart w:id="325" w:name="_Toc11159"/>
      <w:bookmarkStart w:id="326" w:name="_Toc10912"/>
      <w:r>
        <w:rPr>
          <w:rFonts w:hint="eastAsia" w:ascii="黑体" w:hAnsi="黑体" w:eastAsia="黑体" w:cs="黑体"/>
          <w:b/>
          <w:bCs/>
          <w:sz w:val="24"/>
          <w:szCs w:val="24"/>
        </w:rPr>
        <w:t>3.3详细评审</w:t>
      </w:r>
      <w:bookmarkEnd w:id="324"/>
      <w:bookmarkEnd w:id="325"/>
      <w:bookmarkEnd w:id="326"/>
    </w:p>
    <w:p w14:paraId="26DD1C18">
      <w:pPr>
        <w:topLinePunct/>
        <w:spacing w:line="360" w:lineRule="auto"/>
        <w:ind w:firstLine="482" w:firstLineChars="200"/>
        <w:rPr>
          <w:rFonts w:hint="eastAsia" w:ascii="黑体" w:hAnsi="黑体" w:eastAsia="黑体" w:cs="黑体"/>
          <w:color w:val="auto"/>
          <w:sz w:val="24"/>
          <w:szCs w:val="24"/>
        </w:rPr>
      </w:pPr>
      <w:r>
        <w:rPr>
          <w:rFonts w:hint="eastAsia" w:ascii="黑体" w:hAnsi="黑体" w:eastAsia="黑体" w:cs="黑体"/>
          <w:b/>
          <w:bCs/>
          <w:color w:val="auto"/>
          <w:sz w:val="24"/>
          <w:szCs w:val="24"/>
        </w:rPr>
        <w:t>评审小组可以与供应商进行多轮磋商</w:t>
      </w:r>
      <w:r>
        <w:rPr>
          <w:rFonts w:hint="eastAsia" w:ascii="黑体" w:hAnsi="黑体" w:eastAsia="黑体" w:cs="黑体"/>
          <w:color w:val="auto"/>
          <w:sz w:val="24"/>
          <w:szCs w:val="24"/>
        </w:rPr>
        <w:t>，磋商过程中可实质性修订磋商文件的技术、服务要求以及合同草案条款，但不得修订磋商文件中规定的不可磋商核心条件。实质性变动的内容，须经采购人确认，并及时以书面形式同时通知所有参与</w:t>
      </w:r>
      <w:r>
        <w:rPr>
          <w:rFonts w:hint="eastAsia" w:ascii="黑体" w:hAnsi="黑体" w:eastAsia="黑体" w:cs="黑体"/>
          <w:color w:val="auto"/>
          <w:sz w:val="24"/>
          <w:szCs w:val="24"/>
          <w:lang w:eastAsia="zh-CN"/>
        </w:rPr>
        <w:t>磋商</w:t>
      </w:r>
      <w:r>
        <w:rPr>
          <w:rFonts w:hint="eastAsia" w:ascii="黑体" w:hAnsi="黑体" w:eastAsia="黑体" w:cs="黑体"/>
          <w:color w:val="auto"/>
          <w:sz w:val="24"/>
          <w:szCs w:val="24"/>
        </w:rPr>
        <w:t>的供应商。</w:t>
      </w:r>
    </w:p>
    <w:p w14:paraId="14702DD6">
      <w:pPr>
        <w:topLinePunct/>
        <w:spacing w:line="360" w:lineRule="auto"/>
        <w:ind w:firstLine="482" w:firstLineChars="200"/>
        <w:outlineLvl w:val="2"/>
        <w:rPr>
          <w:rFonts w:hint="eastAsia" w:ascii="黑体" w:hAnsi="黑体" w:eastAsia="黑体" w:cs="黑体"/>
          <w:sz w:val="24"/>
          <w:szCs w:val="24"/>
          <w:highlight w:val="none"/>
          <w:lang w:eastAsia="zh-CN"/>
        </w:rPr>
      </w:pPr>
      <w:bookmarkStart w:id="327" w:name="_Toc9286"/>
      <w:bookmarkStart w:id="328" w:name="_Toc11121"/>
      <w:bookmarkStart w:id="329" w:name="_Toc1866"/>
      <w:r>
        <w:rPr>
          <w:rFonts w:hint="eastAsia" w:ascii="黑体" w:hAnsi="黑体" w:eastAsia="黑体" w:cs="黑体"/>
          <w:b/>
          <w:bCs/>
          <w:color w:val="auto"/>
          <w:sz w:val="24"/>
          <w:szCs w:val="24"/>
          <w:highlight w:val="none"/>
        </w:rPr>
        <w:t>评审小组</w:t>
      </w:r>
      <w:r>
        <w:rPr>
          <w:rFonts w:hint="eastAsia" w:ascii="黑体" w:hAnsi="黑体" w:eastAsia="黑体" w:cs="黑体"/>
          <w:b/>
          <w:bCs/>
          <w:color w:val="auto"/>
          <w:sz w:val="24"/>
          <w:szCs w:val="24"/>
          <w:highlight w:val="none"/>
          <w:lang w:eastAsia="zh-CN"/>
        </w:rPr>
        <w:t>可要求供应商</w:t>
      </w:r>
      <w:r>
        <w:rPr>
          <w:rFonts w:hint="eastAsia" w:ascii="黑体" w:hAnsi="黑体" w:eastAsia="黑体" w:cs="黑体"/>
          <w:b/>
          <w:bCs/>
          <w:color w:val="auto"/>
          <w:sz w:val="24"/>
          <w:szCs w:val="24"/>
          <w:highlight w:val="none"/>
        </w:rPr>
        <w:t>进行</w:t>
      </w:r>
      <w:r>
        <w:rPr>
          <w:rFonts w:hint="eastAsia" w:ascii="黑体" w:hAnsi="黑体" w:eastAsia="黑体" w:cs="黑体"/>
          <w:b/>
          <w:bCs/>
          <w:color w:val="auto"/>
          <w:sz w:val="24"/>
          <w:szCs w:val="24"/>
          <w:highlight w:val="none"/>
          <w:lang w:eastAsia="zh-CN"/>
        </w:rPr>
        <w:t>二轮报价，其中涉及价格的内容不得要求供应商在磋商时作口头报价，而应以书面密封形式报价，</w:t>
      </w:r>
      <w:r>
        <w:rPr>
          <w:rFonts w:hint="eastAsia" w:ascii="黑体" w:hAnsi="黑体" w:eastAsia="黑体" w:cs="黑体"/>
          <w:b/>
          <w:bCs/>
          <w:color w:val="auto"/>
          <w:sz w:val="24"/>
          <w:szCs w:val="24"/>
          <w:highlight w:val="none"/>
          <w:lang w:val="en-US" w:eastAsia="zh-CN"/>
        </w:rPr>
        <w:t>价格分计算以最终报价为准</w:t>
      </w:r>
      <w:r>
        <w:rPr>
          <w:rFonts w:hint="eastAsia" w:ascii="黑体" w:hAnsi="黑体" w:eastAsia="黑体" w:cs="黑体"/>
          <w:b/>
          <w:bCs/>
          <w:color w:val="auto"/>
          <w:sz w:val="24"/>
          <w:szCs w:val="24"/>
          <w:highlight w:val="none"/>
          <w:lang w:eastAsia="zh-CN"/>
        </w:rPr>
        <w:t>。</w:t>
      </w:r>
      <w:bookmarkEnd w:id="327"/>
      <w:bookmarkEnd w:id="328"/>
    </w:p>
    <w:p w14:paraId="4F206C7A">
      <w:pPr>
        <w:topLinePunct/>
        <w:spacing w:line="360" w:lineRule="auto"/>
        <w:ind w:firstLine="480" w:firstLineChars="200"/>
        <w:outlineLvl w:val="2"/>
        <w:rPr>
          <w:rFonts w:hint="eastAsia" w:ascii="黑体" w:hAnsi="黑体" w:eastAsia="黑体" w:cs="黑体"/>
          <w:sz w:val="24"/>
          <w:szCs w:val="24"/>
        </w:rPr>
      </w:pPr>
      <w:bookmarkStart w:id="330" w:name="_Toc26428"/>
      <w:bookmarkStart w:id="331" w:name="_Toc1571"/>
      <w:r>
        <w:rPr>
          <w:rFonts w:hint="eastAsia" w:ascii="黑体" w:hAnsi="黑体" w:eastAsia="黑体" w:cs="黑体"/>
          <w:sz w:val="24"/>
          <w:szCs w:val="24"/>
        </w:rPr>
        <w:t>3.4重新提交响应文件</w:t>
      </w:r>
      <w:bookmarkEnd w:id="329"/>
      <w:bookmarkEnd w:id="330"/>
      <w:bookmarkEnd w:id="331"/>
    </w:p>
    <w:p w14:paraId="18921C03">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若磋商文件有变动的，供应商应当按照磋商文件的变动情况和评审小组的要求重新提交响应文件，并由其法定代表人或授权代表签字或者加盖公章。由授权代表签字的，应当附法定代表人授权书。供应商为自然人的，应当由本人签字并附身份证明。</w:t>
      </w:r>
    </w:p>
    <w:p w14:paraId="267CF596">
      <w:pPr>
        <w:topLinePunct/>
        <w:spacing w:line="360" w:lineRule="auto"/>
        <w:ind w:firstLine="480" w:firstLineChars="200"/>
        <w:outlineLvl w:val="2"/>
        <w:rPr>
          <w:rFonts w:hint="eastAsia" w:ascii="黑体" w:hAnsi="黑体" w:eastAsia="黑体" w:cs="黑体"/>
          <w:sz w:val="24"/>
          <w:szCs w:val="24"/>
        </w:rPr>
      </w:pPr>
      <w:bookmarkStart w:id="332" w:name="_Toc11577"/>
      <w:bookmarkStart w:id="333" w:name="_Toc3540"/>
      <w:bookmarkStart w:id="334" w:name="_Toc11872"/>
      <w:r>
        <w:rPr>
          <w:rFonts w:hint="eastAsia" w:ascii="黑体" w:hAnsi="黑体" w:eastAsia="黑体" w:cs="黑体"/>
          <w:sz w:val="24"/>
          <w:szCs w:val="24"/>
        </w:rPr>
        <w:t>3.5综合评分</w:t>
      </w:r>
      <w:bookmarkEnd w:id="332"/>
      <w:bookmarkEnd w:id="333"/>
      <w:bookmarkEnd w:id="334"/>
    </w:p>
    <w:p w14:paraId="53DAE9CF">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3.5.1磋商结束后，评审小组依据本章第2.2款规定的标准，对合格供应商的响应文件进行综合评分。</w:t>
      </w:r>
    </w:p>
    <w:p w14:paraId="2FFC1709">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3.5.2评分分值计算保留小数点后两位，小数点后第三位“四舍五入”。</w:t>
      </w:r>
    </w:p>
    <w:p w14:paraId="45851BED">
      <w:pPr>
        <w:topLinePunct/>
        <w:spacing w:line="360" w:lineRule="auto"/>
        <w:ind w:firstLine="480" w:firstLineChars="200"/>
        <w:outlineLvl w:val="2"/>
        <w:rPr>
          <w:rFonts w:hint="eastAsia" w:ascii="黑体" w:hAnsi="黑体" w:eastAsia="黑体" w:cs="黑体"/>
          <w:sz w:val="24"/>
          <w:szCs w:val="24"/>
        </w:rPr>
      </w:pPr>
      <w:bookmarkStart w:id="335" w:name="_Toc8112"/>
      <w:bookmarkStart w:id="336" w:name="_Toc29065"/>
      <w:bookmarkStart w:id="337" w:name="_Toc12505"/>
      <w:r>
        <w:rPr>
          <w:rFonts w:hint="eastAsia" w:ascii="黑体" w:hAnsi="黑体" w:eastAsia="黑体" w:cs="黑体"/>
          <w:sz w:val="24"/>
          <w:szCs w:val="24"/>
        </w:rPr>
        <w:t>3.6推荐候选供应商</w:t>
      </w:r>
      <w:bookmarkEnd w:id="335"/>
      <w:bookmarkEnd w:id="336"/>
      <w:bookmarkEnd w:id="337"/>
    </w:p>
    <w:p w14:paraId="13078BCE">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评审小组按照综合得分由高到低的顺序推荐本章第1条规定数量的候选供应商。评审得分相同的，按照技术</w:t>
      </w:r>
      <w:r>
        <w:rPr>
          <w:rFonts w:hint="eastAsia" w:ascii="黑体" w:hAnsi="黑体" w:eastAsia="黑体" w:cs="黑体"/>
          <w:sz w:val="24"/>
          <w:szCs w:val="24"/>
          <w:lang w:eastAsia="zh-CN"/>
        </w:rPr>
        <w:t>部分</w:t>
      </w:r>
      <w:r>
        <w:rPr>
          <w:rFonts w:hint="eastAsia" w:ascii="黑体" w:hAnsi="黑体" w:eastAsia="黑体" w:cs="黑体"/>
          <w:sz w:val="24"/>
          <w:szCs w:val="24"/>
        </w:rPr>
        <w:t>优劣顺序推荐</w:t>
      </w:r>
      <w:r>
        <w:rPr>
          <w:rFonts w:hint="eastAsia" w:ascii="黑体" w:hAnsi="黑体" w:eastAsia="黑体" w:cs="黑体"/>
          <w:sz w:val="24"/>
          <w:szCs w:val="24"/>
          <w:lang w:eastAsia="zh-CN"/>
        </w:rPr>
        <w:t>，</w:t>
      </w:r>
      <w:r>
        <w:rPr>
          <w:rFonts w:hint="eastAsia" w:ascii="黑体" w:hAnsi="黑体" w:eastAsia="黑体" w:cs="黑体"/>
          <w:sz w:val="24"/>
          <w:szCs w:val="24"/>
          <w:lang w:val="en-US" w:eastAsia="zh-CN"/>
        </w:rPr>
        <w:t>技术部分得分相同的，以报价低者推荐，报价也相同的，由采购人自行选定</w:t>
      </w:r>
      <w:r>
        <w:rPr>
          <w:rFonts w:hint="eastAsia" w:ascii="黑体" w:hAnsi="黑体" w:eastAsia="黑体" w:cs="黑体"/>
          <w:sz w:val="24"/>
          <w:szCs w:val="24"/>
        </w:rPr>
        <w:t>。</w:t>
      </w:r>
    </w:p>
    <w:p w14:paraId="20470278">
      <w:pPr>
        <w:topLinePunct/>
        <w:spacing w:line="360" w:lineRule="auto"/>
        <w:ind w:firstLine="480" w:firstLineChars="200"/>
        <w:outlineLvl w:val="1"/>
        <w:rPr>
          <w:rFonts w:hint="eastAsia" w:ascii="黑体" w:hAnsi="黑体" w:eastAsia="黑体" w:cs="黑体"/>
          <w:sz w:val="24"/>
          <w:szCs w:val="24"/>
        </w:rPr>
      </w:pPr>
      <w:bookmarkStart w:id="338" w:name="_Toc440"/>
      <w:bookmarkStart w:id="339" w:name="_Toc5039"/>
      <w:bookmarkStart w:id="340" w:name="_Toc7860"/>
      <w:r>
        <w:rPr>
          <w:rFonts w:hint="eastAsia" w:ascii="黑体" w:hAnsi="黑体" w:eastAsia="黑体" w:cs="黑体"/>
          <w:sz w:val="24"/>
          <w:szCs w:val="24"/>
        </w:rPr>
        <w:t>4.评审结果</w:t>
      </w:r>
      <w:bookmarkEnd w:id="338"/>
      <w:bookmarkEnd w:id="339"/>
      <w:bookmarkEnd w:id="340"/>
    </w:p>
    <w:p w14:paraId="6DEDD436">
      <w:pPr>
        <w:topLinePunct/>
        <w:spacing w:line="360" w:lineRule="auto"/>
        <w:ind w:firstLine="480" w:firstLineChars="200"/>
        <w:outlineLvl w:val="2"/>
        <w:rPr>
          <w:rFonts w:hint="eastAsia" w:ascii="黑体" w:hAnsi="黑体" w:eastAsia="黑体" w:cs="黑体"/>
          <w:sz w:val="24"/>
          <w:szCs w:val="24"/>
        </w:rPr>
      </w:pPr>
      <w:bookmarkStart w:id="341" w:name="_Toc22764"/>
      <w:bookmarkStart w:id="342" w:name="_Toc23332"/>
      <w:bookmarkStart w:id="343" w:name="_Toc5011"/>
      <w:r>
        <w:rPr>
          <w:rFonts w:hint="eastAsia" w:ascii="黑体" w:hAnsi="黑体" w:eastAsia="黑体" w:cs="黑体"/>
          <w:sz w:val="24"/>
          <w:szCs w:val="24"/>
        </w:rPr>
        <w:t>4.1提交评审报告</w:t>
      </w:r>
      <w:bookmarkEnd w:id="341"/>
      <w:bookmarkEnd w:id="342"/>
      <w:bookmarkEnd w:id="343"/>
    </w:p>
    <w:p w14:paraId="6190C9CD">
      <w:pPr>
        <w:topLinePunct/>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评审小组按照本章第3条规定的程序对响应文件完成评审后，编写并向采购人提交书面评审报告。评审小组成员应当在评审报告上签字，对自己的评审意见承担法律责任。对评审报告有异议的，应当在报告上签署不同意见，并说明理由，否则视为同意评审报告。</w:t>
      </w:r>
    </w:p>
    <w:p w14:paraId="232F2593">
      <w:pPr>
        <w:topLinePunct/>
        <w:spacing w:line="360" w:lineRule="auto"/>
        <w:ind w:firstLine="420" w:firstLineChars="200"/>
        <w:rPr>
          <w:rFonts w:hint="eastAsia" w:ascii="黑体" w:hAnsi="黑体" w:eastAsia="黑体" w:cs="黑体"/>
          <w:szCs w:val="21"/>
        </w:rPr>
      </w:pPr>
    </w:p>
    <w:p w14:paraId="318C1A10">
      <w:pPr>
        <w:topLinePunct/>
        <w:spacing w:line="400" w:lineRule="exact"/>
        <w:ind w:firstLine="420" w:firstLineChars="200"/>
        <w:rPr>
          <w:rFonts w:hint="eastAsia" w:ascii="黑体" w:hAnsi="黑体" w:eastAsia="黑体" w:cs="黑体"/>
          <w:szCs w:val="21"/>
        </w:rPr>
        <w:sectPr>
          <w:headerReference r:id="rId5" w:type="default"/>
          <w:footerReference r:id="rId6" w:type="default"/>
          <w:pgSz w:w="11906" w:h="16838"/>
          <w:pgMar w:top="1418" w:right="1418" w:bottom="1134" w:left="1418"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15BEA69">
      <w:pPr>
        <w:pStyle w:val="3"/>
        <w:bidi w:val="0"/>
        <w:rPr>
          <w:rFonts w:hint="eastAsia" w:ascii="黑体" w:hAnsi="黑体" w:eastAsia="黑体" w:cs="黑体"/>
          <w:lang w:eastAsia="zh-CN"/>
        </w:rPr>
      </w:pPr>
      <w:bookmarkStart w:id="344" w:name="_Toc16328"/>
      <w:bookmarkStart w:id="345" w:name="_Toc11271"/>
      <w:r>
        <w:rPr>
          <w:rFonts w:hint="eastAsia" w:ascii="黑体" w:hAnsi="黑体" w:eastAsia="黑体" w:cs="黑体"/>
          <w:lang w:val="en-US" w:eastAsia="zh-CN"/>
        </w:rPr>
        <w:t>第五章</w:t>
      </w:r>
      <w:r>
        <w:rPr>
          <w:rFonts w:hint="eastAsia" w:ascii="黑体" w:hAnsi="黑体" w:eastAsia="黑体" w:cs="黑体"/>
        </w:rPr>
        <w:t xml:space="preserve"> </w:t>
      </w:r>
      <w:bookmarkEnd w:id="344"/>
      <w:bookmarkStart w:id="346" w:name="_Toc27532"/>
      <w:r>
        <w:rPr>
          <w:rFonts w:hint="eastAsia" w:ascii="黑体" w:hAnsi="黑体" w:eastAsia="黑体" w:cs="黑体"/>
          <w:lang w:eastAsia="zh-CN"/>
        </w:rPr>
        <w:t>采购人要求</w:t>
      </w:r>
      <w:bookmarkEnd w:id="345"/>
      <w:bookmarkEnd w:id="346"/>
    </w:p>
    <w:p w14:paraId="6DA6ED13">
      <w:pPr>
        <w:pStyle w:val="38"/>
        <w:widowControl w:val="0"/>
        <w:numPr>
          <w:ilvl w:val="0"/>
          <w:numId w:val="0"/>
        </w:numPr>
        <w:spacing w:line="480" w:lineRule="auto"/>
        <w:ind w:firstLine="570" w:firstLineChars="200"/>
        <w:jc w:val="both"/>
        <w:rPr>
          <w:rFonts w:hint="default" w:ascii="黑体" w:hAnsi="黑体" w:eastAsia="黑体" w:cs="黑体"/>
          <w:b/>
          <w:bCs/>
          <w:spacing w:val="2"/>
          <w:kern w:val="2"/>
          <w:sz w:val="28"/>
          <w:szCs w:val="28"/>
          <w:highlight w:val="none"/>
          <w:lang w:val="en-US" w:eastAsia="zh-CN" w:bidi="ar-SA"/>
        </w:rPr>
      </w:pPr>
      <w:r>
        <w:rPr>
          <w:rFonts w:hint="eastAsia" w:ascii="黑体" w:hAnsi="黑体" w:eastAsia="黑体" w:cs="黑体"/>
          <w:b/>
          <w:bCs/>
          <w:spacing w:val="2"/>
          <w:kern w:val="2"/>
          <w:sz w:val="28"/>
          <w:szCs w:val="28"/>
          <w:highlight w:val="none"/>
          <w:lang w:val="en-US" w:eastAsia="zh-CN" w:bidi="ar-SA"/>
        </w:rPr>
        <w:t>一、项目概况：</w:t>
      </w:r>
    </w:p>
    <w:p w14:paraId="13190B30">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1、 项目名称：BDO产业产品质量检测中心建设仪器采购项目</w:t>
      </w:r>
    </w:p>
    <w:p w14:paraId="64AB7555">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2、 项目概况：乌海市检验检测中心拟采购4台仪器设备</w:t>
      </w:r>
    </w:p>
    <w:p w14:paraId="2C03ADDD">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3、 交货及安装周期要求：45日历天</w:t>
      </w:r>
    </w:p>
    <w:p w14:paraId="2AF0FE21">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default"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 xml:space="preserve">4、 质保期：一年  </w:t>
      </w:r>
    </w:p>
    <w:p w14:paraId="1C2F971E">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5、 供货地点：乌海市</w:t>
      </w:r>
    </w:p>
    <w:p w14:paraId="54AD86FE">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color w:val="auto"/>
          <w:sz w:val="24"/>
          <w:szCs w:val="24"/>
          <w:highlight w:val="none"/>
          <w:lang w:val="en-US" w:eastAsia="zh-CN"/>
        </w:rPr>
        <w:t xml:space="preserve">6、 </w:t>
      </w:r>
      <w:r>
        <w:rPr>
          <w:rFonts w:hint="eastAsia" w:ascii="黑体" w:hAnsi="黑体" w:eastAsia="黑体" w:cs="黑体"/>
          <w:sz w:val="24"/>
          <w:szCs w:val="24"/>
          <w:highlight w:val="none"/>
          <w:lang w:val="en-US" w:eastAsia="zh-CN"/>
        </w:rPr>
        <w:t>采购范围：仪器设备的采购、安装及调试，具体内容及要求详见磋商文件</w:t>
      </w:r>
      <w:r>
        <w:rPr>
          <w:rFonts w:hint="eastAsia" w:ascii="黑体" w:hAnsi="黑体" w:eastAsia="黑体" w:cs="黑体"/>
          <w:color w:val="000000"/>
          <w:sz w:val="24"/>
          <w:szCs w:val="24"/>
          <w:highlight w:val="none"/>
          <w:lang w:val="en-US" w:eastAsia="zh-CN"/>
        </w:rPr>
        <w:t>。</w:t>
      </w:r>
    </w:p>
    <w:p w14:paraId="3AD98732">
      <w:pPr>
        <w:pStyle w:val="2"/>
        <w:keepNext w:val="0"/>
        <w:keepLines w:val="0"/>
        <w:pageBreakBefore w:val="0"/>
        <w:widowControl w:val="0"/>
        <w:kinsoku/>
        <w:wordWrap/>
        <w:overflowPunct/>
        <w:topLinePunct w:val="0"/>
        <w:autoSpaceDE/>
        <w:autoSpaceDN/>
        <w:bidi w:val="0"/>
        <w:adjustRightInd/>
        <w:snapToGrid/>
        <w:spacing w:line="600" w:lineRule="auto"/>
        <w:ind w:firstLine="720" w:firstLineChars="300"/>
        <w:textAlignment w:val="auto"/>
        <w:rPr>
          <w:rFonts w:hint="eastAsia" w:ascii="黑体" w:hAnsi="黑体" w:eastAsia="黑体" w:cs="黑体"/>
          <w:spacing w:val="2"/>
          <w:kern w:val="2"/>
          <w:sz w:val="24"/>
          <w:szCs w:val="24"/>
          <w:highlight w:val="none"/>
          <w:lang w:val="en-US" w:eastAsia="zh-CN" w:bidi="ar-SA"/>
        </w:rPr>
      </w:pPr>
      <w:r>
        <w:rPr>
          <w:rFonts w:hint="eastAsia" w:ascii="黑体" w:hAnsi="黑体" w:eastAsia="黑体" w:cs="黑体"/>
          <w:color w:val="auto"/>
          <w:sz w:val="24"/>
          <w:szCs w:val="24"/>
          <w:highlight w:val="none"/>
          <w:lang w:val="en-US" w:eastAsia="zh-CN"/>
        </w:rPr>
        <w:t xml:space="preserve">7、 </w:t>
      </w:r>
      <w:r>
        <w:rPr>
          <w:rFonts w:hint="eastAsia" w:ascii="黑体" w:hAnsi="黑体" w:eastAsia="黑体" w:cs="黑体"/>
          <w:sz w:val="24"/>
          <w:szCs w:val="24"/>
          <w:highlight w:val="none"/>
          <w:lang w:val="en-US" w:eastAsia="zh-CN"/>
        </w:rPr>
        <w:t>质量要求：符合国家、行业质量合格标准。</w:t>
      </w:r>
    </w:p>
    <w:p w14:paraId="45DD1543">
      <w:pPr>
        <w:pStyle w:val="2"/>
        <w:spacing w:line="480" w:lineRule="auto"/>
        <w:ind w:firstLine="570" w:firstLineChars="200"/>
        <w:rPr>
          <w:rFonts w:hint="eastAsia" w:ascii="黑体" w:hAnsi="黑体" w:eastAsia="黑体" w:cs="黑体"/>
          <w:b/>
          <w:bCs/>
          <w:spacing w:val="2"/>
          <w:kern w:val="2"/>
          <w:sz w:val="28"/>
          <w:szCs w:val="28"/>
          <w:highlight w:val="none"/>
          <w:lang w:val="en-US" w:eastAsia="zh-CN" w:bidi="ar-SA"/>
        </w:rPr>
      </w:pPr>
      <w:r>
        <w:rPr>
          <w:rFonts w:hint="eastAsia" w:ascii="黑体" w:hAnsi="黑体" w:eastAsia="黑体" w:cs="黑体"/>
          <w:b/>
          <w:bCs/>
          <w:spacing w:val="2"/>
          <w:kern w:val="2"/>
          <w:sz w:val="28"/>
          <w:szCs w:val="28"/>
          <w:highlight w:val="none"/>
          <w:lang w:val="en-US" w:eastAsia="zh-CN" w:bidi="ar-SA"/>
        </w:rPr>
        <w:t>二、采购明细：</w:t>
      </w:r>
    </w:p>
    <w:p w14:paraId="7BC66C0D">
      <w:pPr>
        <w:keepNext w:val="0"/>
        <w:keepLines w:val="0"/>
        <w:pageBreakBefore w:val="0"/>
        <w:widowControl w:val="0"/>
        <w:kinsoku/>
        <w:wordWrap/>
        <w:overflowPunct/>
        <w:topLinePunct w:val="0"/>
        <w:autoSpaceDE/>
        <w:autoSpaceDN/>
        <w:bidi w:val="0"/>
        <w:adjustRightInd/>
        <w:snapToGrid/>
        <w:spacing w:line="600" w:lineRule="auto"/>
        <w:ind w:left="0" w:firstLine="720" w:firstLineChars="300"/>
        <w:jc w:val="left"/>
        <w:textAlignment w:val="auto"/>
        <w:rPr>
          <w:rFonts w:hint="default"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 xml:space="preserve"> 1、采购种类明细</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4272"/>
        <w:gridCol w:w="1348"/>
        <w:gridCol w:w="1756"/>
      </w:tblGrid>
      <w:tr w14:paraId="05668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62" w:type="dxa"/>
          </w:tcPr>
          <w:p w14:paraId="52FEAF06">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序号</w:t>
            </w:r>
          </w:p>
        </w:tc>
        <w:tc>
          <w:tcPr>
            <w:tcW w:w="4272" w:type="dxa"/>
          </w:tcPr>
          <w:p w14:paraId="1903E705">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设备</w:t>
            </w:r>
          </w:p>
        </w:tc>
        <w:tc>
          <w:tcPr>
            <w:tcW w:w="1348" w:type="dxa"/>
          </w:tcPr>
          <w:p w14:paraId="7C899572">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数量</w:t>
            </w:r>
          </w:p>
        </w:tc>
        <w:tc>
          <w:tcPr>
            <w:tcW w:w="1756" w:type="dxa"/>
          </w:tcPr>
          <w:p w14:paraId="0657F775">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最高限价</w:t>
            </w:r>
          </w:p>
          <w:p w14:paraId="62239DA1">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（万元）</w:t>
            </w:r>
          </w:p>
        </w:tc>
      </w:tr>
      <w:tr w14:paraId="6829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62" w:type="dxa"/>
          </w:tcPr>
          <w:p w14:paraId="7D4B66F6">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w:t>
            </w:r>
          </w:p>
        </w:tc>
        <w:tc>
          <w:tcPr>
            <w:tcW w:w="4272" w:type="dxa"/>
          </w:tcPr>
          <w:p w14:paraId="4F5FBB2D">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rPr>
              <w:t>气相色谱仪</w:t>
            </w:r>
          </w:p>
        </w:tc>
        <w:tc>
          <w:tcPr>
            <w:tcW w:w="1348" w:type="dxa"/>
          </w:tcPr>
          <w:p w14:paraId="27C515A5">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1套</w:t>
            </w:r>
          </w:p>
        </w:tc>
        <w:tc>
          <w:tcPr>
            <w:tcW w:w="1756" w:type="dxa"/>
            <w:vAlign w:val="center"/>
          </w:tcPr>
          <w:p w14:paraId="02B3EE27">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26.5</w:t>
            </w:r>
          </w:p>
        </w:tc>
      </w:tr>
      <w:tr w14:paraId="26B3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62" w:type="dxa"/>
          </w:tcPr>
          <w:p w14:paraId="7B5AEA8F">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2</w:t>
            </w:r>
          </w:p>
        </w:tc>
        <w:tc>
          <w:tcPr>
            <w:tcW w:w="4272" w:type="dxa"/>
          </w:tcPr>
          <w:p w14:paraId="74C04FF8">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rPr>
              <w:t>库仑法卡尔费休水份仪</w:t>
            </w:r>
          </w:p>
        </w:tc>
        <w:tc>
          <w:tcPr>
            <w:tcW w:w="1348" w:type="dxa"/>
          </w:tcPr>
          <w:p w14:paraId="793D1CFA">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1套</w:t>
            </w:r>
          </w:p>
        </w:tc>
        <w:tc>
          <w:tcPr>
            <w:tcW w:w="1756" w:type="dxa"/>
            <w:vAlign w:val="center"/>
          </w:tcPr>
          <w:p w14:paraId="3EAAD017">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16</w:t>
            </w:r>
          </w:p>
        </w:tc>
      </w:tr>
      <w:tr w14:paraId="2A38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62" w:type="dxa"/>
          </w:tcPr>
          <w:p w14:paraId="2E57D27B">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3</w:t>
            </w:r>
          </w:p>
        </w:tc>
        <w:tc>
          <w:tcPr>
            <w:tcW w:w="4272" w:type="dxa"/>
          </w:tcPr>
          <w:p w14:paraId="3018635B">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rPr>
              <w:t>便携式水质色度仪</w:t>
            </w:r>
          </w:p>
        </w:tc>
        <w:tc>
          <w:tcPr>
            <w:tcW w:w="1348" w:type="dxa"/>
          </w:tcPr>
          <w:p w14:paraId="2F1CF798">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1台</w:t>
            </w:r>
          </w:p>
        </w:tc>
        <w:tc>
          <w:tcPr>
            <w:tcW w:w="1756" w:type="dxa"/>
            <w:vAlign w:val="center"/>
          </w:tcPr>
          <w:p w14:paraId="5D305EE0">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1.5</w:t>
            </w:r>
          </w:p>
        </w:tc>
      </w:tr>
      <w:tr w14:paraId="30249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62" w:type="dxa"/>
          </w:tcPr>
          <w:p w14:paraId="54E0A4D7">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4</w:t>
            </w:r>
          </w:p>
        </w:tc>
        <w:tc>
          <w:tcPr>
            <w:tcW w:w="4272" w:type="dxa"/>
          </w:tcPr>
          <w:p w14:paraId="60CDDE5E">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rPr>
              <w:t>煤中碳酸盐二氧化碳含量测定仪</w:t>
            </w:r>
          </w:p>
        </w:tc>
        <w:tc>
          <w:tcPr>
            <w:tcW w:w="1348" w:type="dxa"/>
          </w:tcPr>
          <w:p w14:paraId="3279852B">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1台</w:t>
            </w:r>
          </w:p>
        </w:tc>
        <w:tc>
          <w:tcPr>
            <w:tcW w:w="1756" w:type="dxa"/>
            <w:vAlign w:val="center"/>
          </w:tcPr>
          <w:p w14:paraId="5B410CD2">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w:t>
            </w:r>
          </w:p>
        </w:tc>
      </w:tr>
    </w:tbl>
    <w:p w14:paraId="5390AA6A">
      <w:pPr>
        <w:pStyle w:val="2"/>
        <w:spacing w:line="480" w:lineRule="auto"/>
        <w:ind w:firstLine="960" w:firstLineChars="400"/>
        <w:rPr>
          <w:rFonts w:hint="eastAsia" w:ascii="黑体" w:hAnsi="黑体" w:eastAsia="黑体" w:cs="黑体"/>
          <w:color w:val="000000"/>
          <w:sz w:val="24"/>
          <w:szCs w:val="24"/>
          <w:highlight w:val="none"/>
          <w:lang w:val="en-US" w:eastAsia="zh-CN"/>
        </w:rPr>
      </w:pPr>
    </w:p>
    <w:p w14:paraId="2447BD94">
      <w:pPr>
        <w:pStyle w:val="2"/>
        <w:numPr>
          <w:ilvl w:val="0"/>
          <w:numId w:val="4"/>
        </w:numPr>
        <w:spacing w:line="480" w:lineRule="auto"/>
        <w:ind w:firstLine="960" w:firstLineChars="400"/>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采购限价：</w:t>
      </w:r>
    </w:p>
    <w:p w14:paraId="46DE5DC1">
      <w:pPr>
        <w:pStyle w:val="2"/>
        <w:numPr>
          <w:ilvl w:val="0"/>
          <w:numId w:val="0"/>
        </w:numPr>
        <w:spacing w:line="480" w:lineRule="auto"/>
        <w:rPr>
          <w:rFonts w:hint="default"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 xml:space="preserve">        本项目最高限价为450000元，其中</w:t>
      </w:r>
      <w:r>
        <w:rPr>
          <w:rFonts w:hint="eastAsia" w:ascii="黑体" w:hAnsi="黑体" w:eastAsia="黑体" w:cs="黑体"/>
          <w:sz w:val="24"/>
          <w:szCs w:val="24"/>
        </w:rPr>
        <w:t>气相色谱仪</w:t>
      </w:r>
      <w:r>
        <w:rPr>
          <w:rFonts w:hint="eastAsia" w:ascii="黑体" w:hAnsi="黑体" w:eastAsia="黑体" w:cs="黑体"/>
          <w:color w:val="000000"/>
          <w:sz w:val="24"/>
          <w:szCs w:val="24"/>
          <w:highlight w:val="none"/>
          <w:lang w:val="en-US" w:eastAsia="zh-CN"/>
        </w:rPr>
        <w:t>最高限价为</w:t>
      </w:r>
      <w:r>
        <w:rPr>
          <w:rFonts w:hint="eastAsia" w:ascii="黑体" w:hAnsi="黑体" w:eastAsia="黑体" w:cs="黑体"/>
          <w:sz w:val="24"/>
          <w:szCs w:val="24"/>
          <w:vertAlign w:val="baseline"/>
          <w:lang w:val="en-US" w:eastAsia="zh-CN"/>
        </w:rPr>
        <w:t>265000元，</w:t>
      </w:r>
      <w:r>
        <w:rPr>
          <w:rFonts w:hint="eastAsia" w:ascii="黑体" w:hAnsi="黑体" w:eastAsia="黑体" w:cs="黑体"/>
          <w:sz w:val="24"/>
          <w:szCs w:val="24"/>
        </w:rPr>
        <w:t>库仑法卡尔费休水份仪</w:t>
      </w:r>
      <w:r>
        <w:rPr>
          <w:rFonts w:hint="eastAsia" w:ascii="黑体" w:hAnsi="黑体" w:eastAsia="黑体" w:cs="黑体"/>
          <w:color w:val="000000"/>
          <w:sz w:val="24"/>
          <w:szCs w:val="24"/>
          <w:highlight w:val="none"/>
          <w:lang w:val="en-US" w:eastAsia="zh-CN"/>
        </w:rPr>
        <w:t>最高限价为</w:t>
      </w:r>
      <w:r>
        <w:rPr>
          <w:rFonts w:hint="eastAsia" w:ascii="黑体" w:hAnsi="黑体" w:eastAsia="黑体" w:cs="黑体"/>
          <w:sz w:val="24"/>
          <w:szCs w:val="24"/>
          <w:vertAlign w:val="baseline"/>
          <w:lang w:val="en-US" w:eastAsia="zh-CN"/>
        </w:rPr>
        <w:t>160000元，</w:t>
      </w:r>
      <w:r>
        <w:rPr>
          <w:rFonts w:hint="eastAsia" w:ascii="黑体" w:hAnsi="黑体" w:eastAsia="黑体" w:cs="黑体"/>
          <w:sz w:val="24"/>
          <w:szCs w:val="24"/>
        </w:rPr>
        <w:t>便携式水质色度仪</w:t>
      </w:r>
      <w:r>
        <w:rPr>
          <w:rFonts w:hint="eastAsia" w:ascii="黑体" w:hAnsi="黑体" w:eastAsia="黑体" w:cs="黑体"/>
          <w:color w:val="000000"/>
          <w:sz w:val="24"/>
          <w:szCs w:val="24"/>
          <w:highlight w:val="none"/>
          <w:lang w:val="en-US" w:eastAsia="zh-CN"/>
        </w:rPr>
        <w:t>最高限价为</w:t>
      </w:r>
      <w:r>
        <w:rPr>
          <w:rFonts w:hint="eastAsia" w:ascii="黑体" w:hAnsi="黑体" w:eastAsia="黑体" w:cs="黑体"/>
          <w:sz w:val="24"/>
          <w:szCs w:val="24"/>
          <w:vertAlign w:val="baseline"/>
          <w:lang w:val="en-US" w:eastAsia="zh-CN"/>
        </w:rPr>
        <w:t>15000元，</w:t>
      </w:r>
      <w:r>
        <w:rPr>
          <w:rFonts w:hint="eastAsia" w:ascii="黑体" w:hAnsi="黑体" w:eastAsia="黑体" w:cs="黑体"/>
          <w:sz w:val="24"/>
          <w:szCs w:val="24"/>
        </w:rPr>
        <w:t>煤中碳酸盐二氧化碳含量测定仪</w:t>
      </w:r>
      <w:r>
        <w:rPr>
          <w:rFonts w:hint="eastAsia" w:ascii="黑体" w:hAnsi="黑体" w:eastAsia="黑体" w:cs="黑体"/>
          <w:color w:val="000000"/>
          <w:sz w:val="24"/>
          <w:szCs w:val="24"/>
          <w:highlight w:val="none"/>
          <w:lang w:val="en-US" w:eastAsia="zh-CN"/>
        </w:rPr>
        <w:t>最高限价为</w:t>
      </w:r>
      <w:r>
        <w:rPr>
          <w:rFonts w:hint="eastAsia" w:ascii="黑体" w:hAnsi="黑体" w:eastAsia="黑体" w:cs="黑体"/>
          <w:sz w:val="24"/>
          <w:szCs w:val="24"/>
          <w:vertAlign w:val="baseline"/>
          <w:lang w:val="en-US" w:eastAsia="zh-CN"/>
        </w:rPr>
        <w:t>10000元。</w:t>
      </w:r>
    </w:p>
    <w:p w14:paraId="58B72D68">
      <w:pPr>
        <w:pStyle w:val="2"/>
        <w:numPr>
          <w:ilvl w:val="0"/>
          <w:numId w:val="0"/>
        </w:numPr>
        <w:spacing w:line="480" w:lineRule="auto"/>
        <w:ind w:firstLine="855" w:firstLineChars="300"/>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bCs/>
          <w:spacing w:val="2"/>
          <w:kern w:val="2"/>
          <w:sz w:val="28"/>
          <w:szCs w:val="28"/>
          <w:highlight w:val="none"/>
          <w:lang w:val="en-US" w:eastAsia="zh-CN" w:bidi="ar-SA"/>
        </w:rPr>
        <w:t>三、采购要求：</w:t>
      </w:r>
      <w:bookmarkStart w:id="347" w:name="_Toc16217"/>
      <w:bookmarkStart w:id="348" w:name="_Toc7146"/>
      <w:bookmarkStart w:id="349" w:name="_Toc5251"/>
      <w:bookmarkStart w:id="350" w:name="OLE_LINK1"/>
      <w:bookmarkStart w:id="351" w:name="_Toc18960"/>
    </w:p>
    <w:bookmarkEnd w:id="347"/>
    <w:bookmarkEnd w:id="348"/>
    <w:bookmarkEnd w:id="349"/>
    <w:bookmarkEnd w:id="350"/>
    <w:bookmarkEnd w:id="351"/>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7132"/>
      </w:tblGrid>
      <w:tr w14:paraId="06690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262" w:type="dxa"/>
            <w:gridSpan w:val="2"/>
            <w:shd w:val="clear" w:color="auto" w:fill="AEAAAA"/>
            <w:vAlign w:val="center"/>
          </w:tcPr>
          <w:p w14:paraId="38F5D392">
            <w:pPr>
              <w:jc w:val="center"/>
              <w:rPr>
                <w:rFonts w:hint="eastAsia" w:ascii="黑体" w:hAnsi="黑体" w:eastAsia="黑体" w:cs="黑体"/>
                <w:color w:val="AEAAAA"/>
                <w:sz w:val="24"/>
                <w:szCs w:val="24"/>
                <w:highlight w:val="lightGray"/>
                <w:shd w:val="clear" w:color="auto" w:fill="auto"/>
                <w:vertAlign w:val="baseline"/>
                <w:lang w:val="en-US" w:eastAsia="zh-CN"/>
              </w:rPr>
            </w:pPr>
            <w:r>
              <w:rPr>
                <w:rFonts w:hint="eastAsia" w:ascii="黑体" w:hAnsi="黑体" w:eastAsia="黑体" w:cs="黑体"/>
                <w:b/>
                <w:bCs/>
                <w:color w:val="auto"/>
                <w:sz w:val="30"/>
                <w:szCs w:val="30"/>
                <w:highlight w:val="none"/>
                <w:shd w:val="clear" w:color="auto" w:fill="auto"/>
              </w:rPr>
              <w:t>气相色谱仪</w:t>
            </w:r>
          </w:p>
        </w:tc>
      </w:tr>
      <w:tr w14:paraId="33E2C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2130" w:type="dxa"/>
            <w:vAlign w:val="center"/>
          </w:tcPr>
          <w:p w14:paraId="51775CFD">
            <w:pPr>
              <w:jc w:val="center"/>
              <w:rPr>
                <w:rFonts w:hint="eastAsia" w:ascii="黑体" w:hAnsi="黑体" w:eastAsia="黑体" w:cs="黑体"/>
                <w:sz w:val="24"/>
                <w:szCs w:val="24"/>
                <w:vertAlign w:val="baseline"/>
              </w:rPr>
            </w:pPr>
            <w:r>
              <w:rPr>
                <w:rFonts w:hint="eastAsia" w:ascii="黑体" w:hAnsi="黑体" w:eastAsia="黑体" w:cs="黑体"/>
                <w:sz w:val="24"/>
                <w:szCs w:val="24"/>
                <w:vertAlign w:val="baseline"/>
                <w:lang w:val="en-US" w:eastAsia="zh-CN"/>
              </w:rPr>
              <w:t>数量</w:t>
            </w:r>
          </w:p>
        </w:tc>
        <w:tc>
          <w:tcPr>
            <w:tcW w:w="7132" w:type="dxa"/>
            <w:vAlign w:val="center"/>
          </w:tcPr>
          <w:p w14:paraId="067CE931">
            <w:pPr>
              <w:rPr>
                <w:rFonts w:hint="eastAsia" w:ascii="黑体" w:hAnsi="黑体" w:eastAsia="黑体" w:cs="黑体"/>
                <w:sz w:val="24"/>
                <w:szCs w:val="24"/>
                <w:vertAlign w:val="baseline"/>
              </w:rPr>
            </w:pPr>
            <w:r>
              <w:rPr>
                <w:rFonts w:hint="eastAsia" w:ascii="黑体" w:hAnsi="黑体" w:eastAsia="黑体" w:cs="黑体"/>
                <w:b w:val="0"/>
                <w:bCs w:val="0"/>
                <w:spacing w:val="2"/>
                <w:kern w:val="2"/>
                <w:sz w:val="24"/>
                <w:szCs w:val="24"/>
                <w:highlight w:val="none"/>
                <w:lang w:val="en-US" w:eastAsia="zh-CN" w:bidi="ar-SA"/>
              </w:rPr>
              <w:t>1套</w:t>
            </w:r>
          </w:p>
        </w:tc>
      </w:tr>
      <w:tr w14:paraId="2AE1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130" w:type="dxa"/>
            <w:vAlign w:val="center"/>
          </w:tcPr>
          <w:p w14:paraId="14606B7C">
            <w:pPr>
              <w:jc w:val="center"/>
              <w:rPr>
                <w:rFonts w:hint="eastAsia" w:ascii="黑体" w:hAnsi="黑体" w:eastAsia="黑体" w:cs="黑体"/>
                <w:sz w:val="24"/>
                <w:szCs w:val="24"/>
                <w:vertAlign w:val="baseline"/>
              </w:rPr>
            </w:pPr>
            <w:r>
              <w:rPr>
                <w:rFonts w:hint="eastAsia" w:ascii="黑体" w:hAnsi="黑体" w:eastAsia="黑体" w:cs="黑体"/>
                <w:sz w:val="24"/>
                <w:szCs w:val="24"/>
                <w:vertAlign w:val="baseline"/>
                <w:lang w:val="en-US" w:eastAsia="zh-CN"/>
              </w:rPr>
              <w:t>用途</w:t>
            </w:r>
          </w:p>
        </w:tc>
        <w:tc>
          <w:tcPr>
            <w:tcW w:w="7132" w:type="dxa"/>
            <w:vAlign w:val="center"/>
          </w:tcPr>
          <w:p w14:paraId="6C0D3E63">
            <w:pPr>
              <w:rPr>
                <w:rFonts w:hint="eastAsia" w:ascii="黑体" w:hAnsi="黑体" w:eastAsia="黑体" w:cs="黑体"/>
                <w:sz w:val="24"/>
                <w:szCs w:val="24"/>
                <w:vertAlign w:val="baseline"/>
              </w:rPr>
            </w:pPr>
            <w:r>
              <w:rPr>
                <w:rFonts w:hint="eastAsia" w:ascii="黑体" w:hAnsi="黑体" w:eastAsia="黑体" w:cs="黑体"/>
                <w:b w:val="0"/>
                <w:bCs w:val="0"/>
                <w:spacing w:val="2"/>
                <w:kern w:val="2"/>
                <w:sz w:val="24"/>
                <w:szCs w:val="24"/>
                <w:highlight w:val="none"/>
                <w:lang w:val="en-US" w:eastAsia="zh-CN" w:bidi="ar-SA"/>
              </w:rPr>
              <w:t>主要用于1，4-丁二醇的分析</w:t>
            </w:r>
          </w:p>
        </w:tc>
      </w:tr>
      <w:tr w14:paraId="3A92F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trPr>
        <w:tc>
          <w:tcPr>
            <w:tcW w:w="2130" w:type="dxa"/>
            <w:vAlign w:val="center"/>
          </w:tcPr>
          <w:p w14:paraId="745793AB">
            <w:pPr>
              <w:jc w:val="center"/>
              <w:rPr>
                <w:rFonts w:hint="eastAsia" w:ascii="黑体" w:hAnsi="黑体" w:eastAsia="黑体" w:cs="黑体"/>
                <w:sz w:val="24"/>
                <w:szCs w:val="24"/>
                <w:vertAlign w:val="baseline"/>
              </w:rPr>
            </w:pPr>
            <w:r>
              <w:rPr>
                <w:rFonts w:hint="eastAsia" w:ascii="黑体" w:hAnsi="黑体" w:eastAsia="黑体" w:cs="黑体"/>
                <w:sz w:val="24"/>
                <w:szCs w:val="24"/>
                <w:vertAlign w:val="baseline"/>
                <w:lang w:val="en-US" w:eastAsia="zh-CN"/>
              </w:rPr>
              <w:t>工作条件</w:t>
            </w:r>
          </w:p>
        </w:tc>
        <w:tc>
          <w:tcPr>
            <w:tcW w:w="7132" w:type="dxa"/>
          </w:tcPr>
          <w:p w14:paraId="4AA49C1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1电源：220V，50Hz </w:t>
            </w:r>
          </w:p>
          <w:p w14:paraId="00FF34F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2温度：操作环境15-35℃</w:t>
            </w:r>
          </w:p>
          <w:p w14:paraId="56EA39D9">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sz w:val="24"/>
                <w:szCs w:val="24"/>
                <w:vertAlign w:val="baseline"/>
              </w:rPr>
            </w:pPr>
            <w:r>
              <w:rPr>
                <w:rFonts w:hint="eastAsia" w:ascii="黑体" w:hAnsi="黑体" w:eastAsia="黑体" w:cs="黑体"/>
                <w:b w:val="0"/>
                <w:bCs w:val="0"/>
                <w:spacing w:val="2"/>
                <w:kern w:val="2"/>
                <w:sz w:val="24"/>
                <w:szCs w:val="24"/>
                <w:highlight w:val="none"/>
                <w:lang w:val="en-US" w:eastAsia="zh-CN" w:bidi="ar-SA"/>
              </w:rPr>
              <w:t>3湿度：操作状态25-50%，非操作状态10-90%</w:t>
            </w:r>
          </w:p>
        </w:tc>
      </w:tr>
      <w:tr w14:paraId="576CE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30" w:type="dxa"/>
            <w:vAlign w:val="center"/>
          </w:tcPr>
          <w:p w14:paraId="509F391B">
            <w:pPr>
              <w:jc w:val="center"/>
              <w:rPr>
                <w:rFonts w:hint="default" w:eastAsia="宋体"/>
                <w:vertAlign w:val="baseline"/>
                <w:lang w:val="en-US" w:eastAsia="zh-CN"/>
              </w:rPr>
            </w:pPr>
            <w:r>
              <w:rPr>
                <w:rFonts w:hint="eastAsia" w:ascii="黑体" w:hAnsi="黑体" w:eastAsia="黑体" w:cs="黑体"/>
                <w:sz w:val="24"/>
                <w:szCs w:val="24"/>
                <w:vertAlign w:val="baseline"/>
                <w:lang w:val="en-US" w:eastAsia="zh-CN"/>
              </w:rPr>
              <w:t>配置组成</w:t>
            </w:r>
          </w:p>
        </w:tc>
        <w:tc>
          <w:tcPr>
            <w:tcW w:w="7132" w:type="dxa"/>
          </w:tcPr>
          <w:p w14:paraId="61FA799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1气相色谱仪主机1套；</w:t>
            </w:r>
          </w:p>
          <w:p w14:paraId="384631B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2分流不分流进样口1套；</w:t>
            </w:r>
          </w:p>
          <w:p w14:paraId="5C7EF50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 FID检测器1套；</w:t>
            </w:r>
          </w:p>
          <w:p w14:paraId="35E8E23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4色谱柱1支；</w:t>
            </w:r>
          </w:p>
          <w:p w14:paraId="63BF91C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5 16位及以上液体自动进样器1套；</w:t>
            </w:r>
          </w:p>
          <w:p w14:paraId="0BF1E63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6中文工作站（软、硬件）1套；</w:t>
            </w:r>
          </w:p>
          <w:p w14:paraId="5C47A90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rPr>
            </w:pPr>
            <w:r>
              <w:rPr>
                <w:rFonts w:hint="eastAsia" w:ascii="黑体" w:hAnsi="黑体" w:eastAsia="黑体" w:cs="黑体"/>
                <w:b w:val="0"/>
                <w:bCs w:val="0"/>
                <w:spacing w:val="2"/>
                <w:kern w:val="2"/>
                <w:sz w:val="24"/>
                <w:szCs w:val="24"/>
                <w:highlight w:val="none"/>
                <w:lang w:val="en-US" w:eastAsia="zh-CN" w:bidi="ar-SA"/>
              </w:rPr>
              <w:t>7配套气体装置1套；</w:t>
            </w:r>
          </w:p>
        </w:tc>
      </w:tr>
      <w:tr w14:paraId="7860E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2130" w:type="dxa"/>
            <w:vAlign w:val="center"/>
          </w:tcPr>
          <w:p w14:paraId="5B609CF3">
            <w:pPr>
              <w:jc w:val="center"/>
              <w:rPr>
                <w:vertAlign w:val="baseline"/>
              </w:rPr>
            </w:pPr>
            <w:r>
              <w:rPr>
                <w:rFonts w:hint="eastAsia" w:ascii="黑体" w:hAnsi="黑体" w:eastAsia="黑体" w:cs="黑体"/>
                <w:b w:val="0"/>
                <w:bCs w:val="0"/>
                <w:spacing w:val="2"/>
                <w:kern w:val="2"/>
                <w:sz w:val="24"/>
                <w:szCs w:val="24"/>
                <w:highlight w:val="none"/>
                <w:lang w:val="en-US" w:eastAsia="zh-CN" w:bidi="ar-SA"/>
              </w:rPr>
              <w:t>技术服务</w:t>
            </w:r>
          </w:p>
        </w:tc>
        <w:tc>
          <w:tcPr>
            <w:tcW w:w="7132" w:type="dxa"/>
          </w:tcPr>
          <w:p w14:paraId="41A67B7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 供应商提供仪器的现场安装调试并达到投标书指标要求的技术性能，并同时在现场对用户进行操作培训。如果由于仪器本身原因而在六十天内调试没有通过，供应商必须更换一套新的相同型号或符合技术性能的仪器设备。 </w:t>
            </w:r>
          </w:p>
          <w:p w14:paraId="6328BC4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 仪器在调试通过后提供一年免费保修服务，在保修期内，所有服务及配件全部免费；保修期外，用户可根据实际费用结算。供应商需设有配件耗材库，能更及时地为用户提供备品备件。 </w:t>
            </w:r>
          </w:p>
          <w:p w14:paraId="67EDA4F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3 设备厂家须设有分析仪器培训中心并为用户提供该仪器的基本原理、操作、日常维护及该设备的基础理论课程，并为用户提供培训。 </w:t>
            </w:r>
          </w:p>
          <w:p w14:paraId="508B728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4 供应商应设有专业的维修站，有专职的维修工程师及应用工程师有效保证售后维修的及时、快捷， 并负责提供技术支持，保证仪器的正常操作，并协助用户进行方法开发。 </w:t>
            </w:r>
          </w:p>
          <w:p w14:paraId="4E1A59D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*5仪器交付后，需能正常运行365天以上。</w:t>
            </w:r>
          </w:p>
          <w:p w14:paraId="1F4889F3">
            <w:pPr>
              <w:rPr>
                <w:vertAlign w:val="baseline"/>
              </w:rPr>
            </w:pPr>
          </w:p>
        </w:tc>
      </w:tr>
      <w:tr w14:paraId="36F96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02182D3F">
            <w:pPr>
              <w:jc w:val="center"/>
              <w:rPr>
                <w:rFonts w:hint="eastAsia" w:ascii="黑体" w:hAnsi="黑体" w:eastAsia="黑体" w:cs="黑体"/>
                <w:sz w:val="24"/>
                <w:szCs w:val="24"/>
                <w:vertAlign w:val="baseline"/>
                <w:lang w:val="en-US" w:eastAsia="zh-CN"/>
              </w:rPr>
            </w:pPr>
          </w:p>
          <w:p w14:paraId="190541AF">
            <w:pPr>
              <w:jc w:val="center"/>
              <w:rPr>
                <w:rFonts w:hint="eastAsia" w:ascii="黑体" w:hAnsi="黑体" w:eastAsia="黑体" w:cs="黑体"/>
                <w:sz w:val="24"/>
                <w:szCs w:val="24"/>
                <w:vertAlign w:val="baseline"/>
                <w:lang w:val="en-US" w:eastAsia="zh-CN"/>
              </w:rPr>
            </w:pPr>
          </w:p>
          <w:p w14:paraId="13ADD8EB">
            <w:pPr>
              <w:jc w:val="center"/>
              <w:rPr>
                <w:rFonts w:hint="eastAsia" w:ascii="黑体" w:hAnsi="黑体" w:eastAsia="黑体" w:cs="黑体"/>
                <w:sz w:val="24"/>
                <w:szCs w:val="24"/>
                <w:vertAlign w:val="baseline"/>
                <w:lang w:val="en-US" w:eastAsia="zh-CN"/>
              </w:rPr>
            </w:pPr>
          </w:p>
          <w:p w14:paraId="187165FD">
            <w:pPr>
              <w:jc w:val="center"/>
              <w:rPr>
                <w:rFonts w:hint="eastAsia" w:ascii="黑体" w:hAnsi="黑体" w:eastAsia="黑体" w:cs="黑体"/>
                <w:sz w:val="24"/>
                <w:szCs w:val="24"/>
                <w:vertAlign w:val="baseline"/>
                <w:lang w:val="en-US" w:eastAsia="zh-CN"/>
              </w:rPr>
            </w:pPr>
          </w:p>
          <w:p w14:paraId="52FF33DB">
            <w:pPr>
              <w:jc w:val="center"/>
              <w:rPr>
                <w:rFonts w:hint="eastAsia" w:ascii="黑体" w:hAnsi="黑体" w:eastAsia="黑体" w:cs="黑体"/>
                <w:sz w:val="24"/>
                <w:szCs w:val="24"/>
                <w:vertAlign w:val="baseline"/>
                <w:lang w:val="en-US" w:eastAsia="zh-CN"/>
              </w:rPr>
            </w:pPr>
          </w:p>
          <w:p w14:paraId="66346185">
            <w:pPr>
              <w:jc w:val="center"/>
              <w:rPr>
                <w:rFonts w:hint="eastAsia" w:ascii="黑体" w:hAnsi="黑体" w:eastAsia="黑体" w:cs="黑体"/>
                <w:sz w:val="24"/>
                <w:szCs w:val="24"/>
                <w:vertAlign w:val="baseline"/>
                <w:lang w:val="en-US" w:eastAsia="zh-CN"/>
              </w:rPr>
            </w:pPr>
          </w:p>
          <w:p w14:paraId="61AC25FA">
            <w:pPr>
              <w:jc w:val="center"/>
              <w:rPr>
                <w:rFonts w:hint="eastAsia" w:ascii="黑体" w:hAnsi="黑体" w:eastAsia="黑体" w:cs="黑体"/>
                <w:sz w:val="24"/>
                <w:szCs w:val="24"/>
                <w:vertAlign w:val="baseline"/>
                <w:lang w:val="en-US" w:eastAsia="zh-CN"/>
              </w:rPr>
            </w:pPr>
          </w:p>
          <w:p w14:paraId="283825E0">
            <w:pPr>
              <w:jc w:val="center"/>
              <w:rPr>
                <w:rFonts w:hint="eastAsia" w:ascii="黑体" w:hAnsi="黑体" w:eastAsia="黑体" w:cs="黑体"/>
                <w:sz w:val="24"/>
                <w:szCs w:val="24"/>
                <w:vertAlign w:val="baseline"/>
                <w:lang w:val="en-US" w:eastAsia="zh-CN"/>
              </w:rPr>
            </w:pPr>
          </w:p>
          <w:p w14:paraId="3B0018CB">
            <w:pPr>
              <w:jc w:val="center"/>
              <w:rPr>
                <w:rFonts w:hint="eastAsia" w:ascii="黑体" w:hAnsi="黑体" w:eastAsia="黑体" w:cs="黑体"/>
                <w:sz w:val="24"/>
                <w:szCs w:val="24"/>
                <w:vertAlign w:val="baseline"/>
                <w:lang w:val="en-US" w:eastAsia="zh-CN"/>
              </w:rPr>
            </w:pPr>
          </w:p>
          <w:p w14:paraId="58BF004D">
            <w:pPr>
              <w:jc w:val="center"/>
              <w:rPr>
                <w:rFonts w:hint="eastAsia" w:ascii="黑体" w:hAnsi="黑体" w:eastAsia="黑体" w:cs="黑体"/>
                <w:sz w:val="24"/>
                <w:szCs w:val="24"/>
                <w:vertAlign w:val="baseline"/>
                <w:lang w:val="en-US" w:eastAsia="zh-CN"/>
              </w:rPr>
            </w:pPr>
          </w:p>
          <w:p w14:paraId="7408E7AD">
            <w:pPr>
              <w:jc w:val="center"/>
              <w:rPr>
                <w:rFonts w:hint="eastAsia" w:ascii="黑体" w:hAnsi="黑体" w:eastAsia="黑体" w:cs="黑体"/>
                <w:sz w:val="24"/>
                <w:szCs w:val="24"/>
                <w:vertAlign w:val="baseline"/>
                <w:lang w:val="en-US" w:eastAsia="zh-CN"/>
              </w:rPr>
            </w:pPr>
          </w:p>
          <w:p w14:paraId="38DCAF65">
            <w:pPr>
              <w:jc w:val="center"/>
              <w:rPr>
                <w:rFonts w:hint="eastAsia" w:ascii="黑体" w:hAnsi="黑体" w:eastAsia="黑体" w:cs="黑体"/>
                <w:sz w:val="24"/>
                <w:szCs w:val="24"/>
                <w:vertAlign w:val="baseline"/>
                <w:lang w:val="en-US" w:eastAsia="zh-CN"/>
              </w:rPr>
            </w:pPr>
          </w:p>
          <w:p w14:paraId="3E732F68">
            <w:pPr>
              <w:jc w:val="center"/>
              <w:rPr>
                <w:rFonts w:hint="eastAsia" w:ascii="黑体" w:hAnsi="黑体" w:eastAsia="黑体" w:cs="黑体"/>
                <w:sz w:val="24"/>
                <w:szCs w:val="24"/>
                <w:vertAlign w:val="baseline"/>
                <w:lang w:val="en-US" w:eastAsia="zh-CN"/>
              </w:rPr>
            </w:pPr>
          </w:p>
          <w:p w14:paraId="67F27DEB">
            <w:pPr>
              <w:jc w:val="center"/>
              <w:rPr>
                <w:rFonts w:hint="eastAsia" w:ascii="黑体" w:hAnsi="黑体" w:eastAsia="黑体" w:cs="黑体"/>
                <w:sz w:val="24"/>
                <w:szCs w:val="24"/>
                <w:vertAlign w:val="baseline"/>
                <w:lang w:val="en-US" w:eastAsia="zh-CN"/>
              </w:rPr>
            </w:pPr>
          </w:p>
          <w:p w14:paraId="103F11C0">
            <w:pPr>
              <w:jc w:val="center"/>
              <w:rPr>
                <w:rFonts w:hint="default" w:ascii="黑体" w:hAnsi="黑体" w:eastAsia="黑体" w:cs="黑体"/>
                <w:b w:val="0"/>
                <w:bCs w:val="0"/>
                <w:spacing w:val="2"/>
                <w:kern w:val="2"/>
                <w:sz w:val="24"/>
                <w:szCs w:val="24"/>
                <w:highlight w:val="none"/>
                <w:lang w:val="en-US" w:eastAsia="zh-CN" w:bidi="ar-SA"/>
              </w:rPr>
            </w:pPr>
            <w:r>
              <w:rPr>
                <w:rFonts w:hint="eastAsia" w:ascii="黑体" w:hAnsi="黑体" w:eastAsia="黑体" w:cs="黑体"/>
                <w:sz w:val="24"/>
                <w:szCs w:val="24"/>
                <w:vertAlign w:val="baseline"/>
                <w:lang w:val="en-US" w:eastAsia="zh-CN"/>
              </w:rPr>
              <w:t>参数要求</w:t>
            </w:r>
          </w:p>
        </w:tc>
        <w:tc>
          <w:tcPr>
            <w:tcW w:w="7132" w:type="dxa"/>
          </w:tcPr>
          <w:p w14:paraId="496BD06A">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lightGray"/>
                <w:lang w:val="en-US" w:eastAsia="zh-CN" w:bidi="ar-SA"/>
              </w:rPr>
            </w:pPr>
            <w:r>
              <w:rPr>
                <w:rFonts w:hint="eastAsia" w:ascii="黑体" w:hAnsi="黑体" w:eastAsia="黑体" w:cs="黑体"/>
                <w:b w:val="0"/>
                <w:bCs w:val="0"/>
                <w:spacing w:val="2"/>
                <w:kern w:val="2"/>
                <w:sz w:val="24"/>
                <w:szCs w:val="24"/>
                <w:highlight w:val="lightGray"/>
                <w:lang w:val="en-US" w:eastAsia="zh-CN" w:bidi="ar-SA"/>
              </w:rPr>
              <w:t xml:space="preserve">1气相色谱 </w:t>
            </w:r>
          </w:p>
          <w:p w14:paraId="403CB45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1.1电子流量控制：所有流量、压力均可以电子控制，以提高重现性。 </w:t>
            </w:r>
          </w:p>
          <w:p w14:paraId="3335E56D">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1.2压力调节：≤0.01psi </w:t>
            </w:r>
          </w:p>
          <w:p w14:paraId="29559A6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*1.3保留时间重现性：≤0.06%</w:t>
            </w:r>
          </w:p>
          <w:p w14:paraId="05475B1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*1.4峰面积的重现性：≤ 2%RSD </w:t>
            </w:r>
          </w:p>
          <w:p w14:paraId="791D363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*1.5可以同时安装三个检测器，非插拔式 </w:t>
            </w:r>
          </w:p>
          <w:p w14:paraId="578D996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1.6主机带电容式触摸屏，屏幕≥4英寸，可实时控制仪器，进行方法设置，同时显示数据信息 。</w:t>
            </w:r>
          </w:p>
          <w:p w14:paraId="1DC414C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1.7设备在配置局域网的情况下，可在移动智能化设备（例如手机，平板电脑，笔记本电脑等）对设备进行远程控制、操作、及数据处理，真正实现远程监控 。</w:t>
            </w:r>
          </w:p>
          <w:p w14:paraId="3E74BED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1.8仪器可利用电子流量控制实现自动检漏，无需人工排查，并且仪器监控品目不少于100项； </w:t>
            </w:r>
          </w:p>
          <w:p w14:paraId="75091AB9">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lightGray"/>
                <w:lang w:val="en-US" w:eastAsia="zh-CN" w:bidi="ar-SA"/>
              </w:rPr>
            </w:pPr>
            <w:r>
              <w:rPr>
                <w:rFonts w:hint="eastAsia" w:ascii="黑体" w:hAnsi="黑体" w:eastAsia="黑体" w:cs="黑体"/>
                <w:b w:val="0"/>
                <w:bCs w:val="0"/>
                <w:spacing w:val="2"/>
                <w:kern w:val="2"/>
                <w:sz w:val="24"/>
                <w:szCs w:val="24"/>
                <w:highlight w:val="lightGray"/>
                <w:lang w:val="en-US" w:eastAsia="zh-CN" w:bidi="ar-SA"/>
              </w:rPr>
              <w:t xml:space="preserve">2柱温箱 </w:t>
            </w:r>
          </w:p>
          <w:p w14:paraId="248F561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2.1操作温度：室温以上8℃至425℃ </w:t>
            </w:r>
          </w:p>
          <w:p w14:paraId="7D48694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2.2温度设定：1℃，程序升温间隔0.1℃ </w:t>
            </w:r>
          </w:p>
          <w:p w14:paraId="502857D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2.3升温速度：0.1℃-75℃/min（最大） </w:t>
            </w:r>
          </w:p>
          <w:p w14:paraId="38D5BD2D">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2.4程序升温：≥20阶,≥21个温度平台 </w:t>
            </w:r>
          </w:p>
          <w:p w14:paraId="0DA8280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2.5稳定性：≤0.01℃ </w:t>
            </w:r>
          </w:p>
          <w:p w14:paraId="23D9372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2.6温度准确度：±1% </w:t>
            </w:r>
          </w:p>
          <w:p w14:paraId="2A7DFE9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2.7柱温箱冷却速度：300℃到50℃，小于6min。 </w:t>
            </w:r>
          </w:p>
          <w:p w14:paraId="34F3CD9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2.8最大运行时间：999.99分钟 </w:t>
            </w:r>
          </w:p>
          <w:p w14:paraId="7AEE0884">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lightGray"/>
                <w:lang w:val="en-US" w:eastAsia="zh-CN" w:bidi="ar-SA"/>
              </w:rPr>
            </w:pPr>
            <w:r>
              <w:rPr>
                <w:rFonts w:hint="eastAsia" w:ascii="黑体" w:hAnsi="黑体" w:eastAsia="黑体" w:cs="黑体"/>
                <w:b w:val="0"/>
                <w:bCs w:val="0"/>
                <w:spacing w:val="2"/>
                <w:kern w:val="2"/>
                <w:sz w:val="24"/>
                <w:szCs w:val="24"/>
                <w:highlight w:val="lightGray"/>
                <w:lang w:val="en-US" w:eastAsia="zh-CN" w:bidi="ar-SA"/>
              </w:rPr>
              <w:t xml:space="preserve">3毛细柱分流/不分流进样口 </w:t>
            </w:r>
          </w:p>
          <w:p w14:paraId="51B0D60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3.1最高使用温度：≥380℃ </w:t>
            </w:r>
          </w:p>
          <w:p w14:paraId="71D67B9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3.2电子参数设定压力，流速和分流比,分流比≥10000：1 </w:t>
            </w:r>
          </w:p>
          <w:p w14:paraId="127769D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3.3最大载气流量：≥1000mL/min </w:t>
            </w:r>
          </w:p>
          <w:p w14:paraId="39C37C9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3.4流量范围：0-500mL/分钟 N</w:t>
            </w:r>
            <w:r>
              <w:rPr>
                <w:rFonts w:hint="eastAsia" w:ascii="黑体" w:hAnsi="黑体" w:eastAsia="黑体" w:cs="黑体"/>
                <w:color w:val="000000"/>
                <w:kern w:val="0"/>
                <w:sz w:val="24"/>
                <w:szCs w:val="24"/>
                <w:vertAlign w:val="subscript"/>
                <w:lang w:bidi="ar"/>
              </w:rPr>
              <w:t>2</w:t>
            </w:r>
            <w:r>
              <w:rPr>
                <w:rFonts w:hint="eastAsia" w:ascii="黑体" w:hAnsi="黑体" w:eastAsia="黑体" w:cs="黑体"/>
                <w:b w:val="0"/>
                <w:bCs w:val="0"/>
                <w:spacing w:val="2"/>
                <w:kern w:val="2"/>
                <w:sz w:val="24"/>
                <w:szCs w:val="24"/>
                <w:highlight w:val="none"/>
                <w:lang w:val="en-US" w:eastAsia="zh-CN" w:bidi="ar-SA"/>
              </w:rPr>
              <w:t>，0-1250mL/min H</w:t>
            </w:r>
            <w:r>
              <w:rPr>
                <w:rFonts w:hint="eastAsia" w:ascii="黑体" w:hAnsi="黑体" w:eastAsia="黑体" w:cs="黑体"/>
                <w:color w:val="000000"/>
                <w:kern w:val="0"/>
                <w:sz w:val="24"/>
                <w:szCs w:val="24"/>
                <w:vertAlign w:val="subscript"/>
                <w:lang w:bidi="ar"/>
              </w:rPr>
              <w:t>2</w:t>
            </w:r>
            <w:r>
              <w:rPr>
                <w:rFonts w:hint="eastAsia" w:ascii="黑体" w:hAnsi="黑体" w:eastAsia="黑体" w:cs="黑体"/>
                <w:b w:val="0"/>
                <w:bCs w:val="0"/>
                <w:spacing w:val="2"/>
                <w:kern w:val="2"/>
                <w:sz w:val="24"/>
                <w:szCs w:val="24"/>
                <w:highlight w:val="none"/>
                <w:lang w:val="en-US" w:eastAsia="zh-CN" w:bidi="ar-SA"/>
              </w:rPr>
              <w:t xml:space="preserve">or He </w:t>
            </w:r>
          </w:p>
          <w:p w14:paraId="13404D5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*3.5易拆卸进样口，可简便更换进样口衬管 </w:t>
            </w:r>
          </w:p>
          <w:p w14:paraId="2625548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lightGray"/>
                <w:lang w:val="en-US" w:eastAsia="zh-CN" w:bidi="ar-SA"/>
              </w:rPr>
            </w:pPr>
            <w:r>
              <w:rPr>
                <w:rFonts w:hint="eastAsia" w:ascii="黑体" w:hAnsi="黑体" w:eastAsia="黑体" w:cs="黑体"/>
                <w:b w:val="0"/>
                <w:bCs w:val="0"/>
                <w:spacing w:val="2"/>
                <w:kern w:val="2"/>
                <w:sz w:val="24"/>
                <w:szCs w:val="24"/>
                <w:highlight w:val="lightGray"/>
                <w:lang w:val="en-US" w:eastAsia="zh-CN" w:bidi="ar-SA"/>
              </w:rPr>
              <w:t>*4火焰离子化检测器 (FID)</w:t>
            </w:r>
          </w:p>
          <w:p w14:paraId="3AE1031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4.1 最高操作温度 425℃</w:t>
            </w:r>
          </w:p>
          <w:p w14:paraId="41D9A52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*4.2 MDL &lt; 3 pg 碳/s，以十三烷计</w:t>
            </w:r>
          </w:p>
          <w:p w14:paraId="6F5E907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4.3 线性动态范围 &gt; 10</w:t>
            </w:r>
            <w:r>
              <w:rPr>
                <w:rFonts w:hint="eastAsia" w:ascii="黑体" w:hAnsi="黑体" w:eastAsia="黑体" w:cs="黑体"/>
                <w:color w:val="000000"/>
                <w:kern w:val="0"/>
                <w:sz w:val="24"/>
                <w:szCs w:val="24"/>
                <w:vertAlign w:val="superscript"/>
                <w:lang w:bidi="ar"/>
              </w:rPr>
              <w:t>7</w:t>
            </w:r>
            <w:r>
              <w:rPr>
                <w:rFonts w:hint="eastAsia" w:ascii="黑体" w:hAnsi="黑体" w:eastAsia="黑体" w:cs="黑体"/>
                <w:b w:val="0"/>
                <w:bCs w:val="0"/>
                <w:spacing w:val="2"/>
                <w:kern w:val="2"/>
                <w:sz w:val="24"/>
                <w:szCs w:val="24"/>
                <w:highlight w:val="none"/>
                <w:lang w:val="en-US" w:eastAsia="zh-CN" w:bidi="ar-SA"/>
              </w:rPr>
              <w:t>，采用 N</w:t>
            </w:r>
            <w:r>
              <w:rPr>
                <w:rFonts w:hint="eastAsia" w:ascii="黑体" w:hAnsi="黑体" w:eastAsia="黑体" w:cs="黑体"/>
                <w:color w:val="000000"/>
                <w:kern w:val="0"/>
                <w:sz w:val="24"/>
                <w:szCs w:val="24"/>
                <w:vertAlign w:val="subscript"/>
                <w:lang w:bidi="ar"/>
              </w:rPr>
              <w:t>2</w:t>
            </w:r>
            <w:r>
              <w:rPr>
                <w:rFonts w:hint="eastAsia" w:ascii="黑体" w:hAnsi="黑体" w:eastAsia="黑体" w:cs="黑体"/>
                <w:b w:val="0"/>
                <w:bCs w:val="0"/>
                <w:spacing w:val="2"/>
                <w:kern w:val="2"/>
                <w:sz w:val="24"/>
                <w:szCs w:val="24"/>
                <w:highlight w:val="none"/>
                <w:lang w:val="en-US" w:eastAsia="zh-CN" w:bidi="ar-SA"/>
              </w:rPr>
              <w:t xml:space="preserve"> 载气和 0.29 mm  内径喷雾</w:t>
            </w:r>
          </w:p>
          <w:p w14:paraId="70CB083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4.4 最大数据采集速率 500 Hz</w:t>
            </w:r>
          </w:p>
          <w:p w14:paraId="6ECE582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4.5 全程数字数据路径能够在一次运行中对整个 10</w:t>
            </w:r>
            <w:r>
              <w:rPr>
                <w:rFonts w:hint="eastAsia" w:ascii="黑体" w:hAnsi="黑体" w:eastAsia="黑体" w:cs="黑体"/>
                <w:color w:val="000000"/>
                <w:kern w:val="0"/>
                <w:sz w:val="24"/>
                <w:szCs w:val="24"/>
                <w:vertAlign w:val="superscript"/>
                <w:lang w:bidi="ar"/>
              </w:rPr>
              <w:t>7</w:t>
            </w:r>
            <w:r>
              <w:rPr>
                <w:rFonts w:hint="eastAsia" w:ascii="黑体" w:hAnsi="黑体" w:eastAsia="黑体" w:cs="黑体"/>
                <w:b w:val="0"/>
                <w:bCs w:val="0"/>
                <w:spacing w:val="2"/>
                <w:kern w:val="2"/>
                <w:sz w:val="24"/>
                <w:szCs w:val="24"/>
                <w:highlight w:val="none"/>
                <w:lang w:val="en-US" w:eastAsia="zh-CN" w:bidi="ar-SA"/>
              </w:rPr>
              <w:t xml:space="preserve"> 浓度范围内的峰进行定量分析</w:t>
            </w:r>
          </w:p>
          <w:p w14:paraId="3F20A87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lightGray"/>
                <w:lang w:val="en-US" w:eastAsia="zh-CN" w:bidi="ar-SA"/>
              </w:rPr>
            </w:pPr>
            <w:r>
              <w:rPr>
                <w:rFonts w:hint="eastAsia" w:ascii="黑体" w:hAnsi="黑体" w:eastAsia="黑体" w:cs="黑体"/>
                <w:b w:val="0"/>
                <w:bCs w:val="0"/>
                <w:spacing w:val="2"/>
                <w:kern w:val="2"/>
                <w:sz w:val="24"/>
                <w:szCs w:val="24"/>
                <w:highlight w:val="lightGray"/>
                <w:lang w:val="en-US" w:eastAsia="zh-CN" w:bidi="ar-SA"/>
              </w:rPr>
              <w:t xml:space="preserve">*5.全自动液体进样器 </w:t>
            </w:r>
          </w:p>
          <w:p w14:paraId="4215A0C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*5.1自动进样器：样品容量≥16位，数量1个 </w:t>
            </w:r>
          </w:p>
          <w:p w14:paraId="72C7580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*5.2进样量范围：0.1-50u</w:t>
            </w:r>
            <w:r>
              <w:rPr>
                <w:rFonts w:hint="eastAsia" w:ascii="黑体" w:hAnsi="黑体" w:eastAsia="黑体" w:cs="黑体"/>
                <w:color w:val="000000"/>
                <w:kern w:val="0"/>
                <w:sz w:val="24"/>
                <w:szCs w:val="24"/>
                <w:lang w:val="en-US" w:eastAsia="zh-CN" w:bidi="ar"/>
              </w:rPr>
              <w:t>L</w:t>
            </w:r>
          </w:p>
          <w:p w14:paraId="3E6E793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5.3进样量线性：≥99% </w:t>
            </w:r>
          </w:p>
          <w:p w14:paraId="2B0C5B69">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5.4自动进样针可以自行调节进样深度 </w:t>
            </w:r>
          </w:p>
          <w:p w14:paraId="0454783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5.5可实行快速进样，进样速度0.1sec </w:t>
            </w:r>
          </w:p>
          <w:p w14:paraId="3AFBF03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5.6重叠进样，节省时间，提高效率 </w:t>
            </w:r>
          </w:p>
          <w:p w14:paraId="10BB0F6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lightGray"/>
                <w:lang w:val="en-US" w:eastAsia="zh-CN" w:bidi="ar-SA"/>
              </w:rPr>
            </w:pPr>
            <w:r>
              <w:rPr>
                <w:rFonts w:hint="eastAsia" w:ascii="黑体" w:hAnsi="黑体" w:eastAsia="黑体" w:cs="黑体"/>
                <w:b w:val="0"/>
                <w:bCs w:val="0"/>
                <w:spacing w:val="2"/>
                <w:kern w:val="2"/>
                <w:sz w:val="24"/>
                <w:szCs w:val="24"/>
                <w:highlight w:val="lightGray"/>
                <w:lang w:val="en-US" w:eastAsia="zh-CN" w:bidi="ar-SA"/>
              </w:rPr>
              <w:t xml:space="preserve">6色谱工作站软件 </w:t>
            </w:r>
          </w:p>
          <w:p w14:paraId="2E8EBE2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6.1硬件：8G内存、1T硬盘、20英寸液晶显示器计算机， A4激光打印机。 </w:t>
            </w:r>
          </w:p>
          <w:p w14:paraId="1FAE000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6.2具有保留时间锁定功能，不同实验人员可依照此功能快速移植检测方法，可以实现不同实验室的多台仪器间，针对同一检测项目的保留时间完全一致 。</w:t>
            </w:r>
          </w:p>
          <w:p w14:paraId="6234F7A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6.3工作站具有早期维护提醒，可对消耗品的使用次数进行计数监测，尽可能延长其使用寿命。 </w:t>
            </w:r>
          </w:p>
          <w:p w14:paraId="08CC625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6.4软件提供强大的帮助系统，具有自引导维护功能，提供例如更换进样口组件、色谱柱和气相色谱检测器消耗品的分步说明。 </w:t>
            </w:r>
          </w:p>
          <w:p w14:paraId="1ED5407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6.5 真正的网络智能化设计，局域网无线链接，主机触屏，台式工作站，智能移动设备，三者互通互联，均可实现仪器控制，参数编辑，数据分析 。</w:t>
            </w:r>
          </w:p>
        </w:tc>
      </w:tr>
      <w:tr w14:paraId="6F7C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262" w:type="dxa"/>
            <w:gridSpan w:val="2"/>
            <w:shd w:val="clear" w:color="auto" w:fill="AEAAAA"/>
            <w:vAlign w:val="center"/>
          </w:tcPr>
          <w:p w14:paraId="4126F8B1">
            <w:pPr>
              <w:jc w:val="cente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bCs/>
                <w:color w:val="auto"/>
                <w:sz w:val="30"/>
                <w:szCs w:val="30"/>
                <w:highlight w:val="none"/>
                <w:shd w:val="clear" w:color="auto" w:fill="AEAAAA"/>
                <w:lang w:val="en-US" w:eastAsia="zh-CN"/>
              </w:rPr>
              <w:t>库仑法卡尔费休水份仪</w:t>
            </w:r>
          </w:p>
        </w:tc>
      </w:tr>
      <w:tr w14:paraId="378E9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130" w:type="dxa"/>
            <w:vAlign w:val="center"/>
          </w:tcPr>
          <w:p w14:paraId="38185D0D">
            <w:pPr>
              <w:jc w:val="cente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sz w:val="24"/>
                <w:szCs w:val="24"/>
                <w:vertAlign w:val="baseline"/>
                <w:lang w:val="en-US" w:eastAsia="zh-CN"/>
              </w:rPr>
              <w:t>数量</w:t>
            </w:r>
          </w:p>
        </w:tc>
        <w:tc>
          <w:tcPr>
            <w:tcW w:w="7132" w:type="dxa"/>
          </w:tcPr>
          <w:p w14:paraId="0EE77B5E">
            <w:pPr>
              <w:rPr>
                <w:rFonts w:hint="default"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1套</w:t>
            </w:r>
          </w:p>
        </w:tc>
      </w:tr>
      <w:tr w14:paraId="7D703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130" w:type="dxa"/>
            <w:vAlign w:val="center"/>
          </w:tcPr>
          <w:p w14:paraId="7C47C82E">
            <w:pPr>
              <w:jc w:val="cente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sz w:val="24"/>
                <w:szCs w:val="24"/>
                <w:vertAlign w:val="baseline"/>
                <w:lang w:val="en-US" w:eastAsia="zh-CN"/>
              </w:rPr>
              <w:t>用途</w:t>
            </w:r>
          </w:p>
        </w:tc>
        <w:tc>
          <w:tcPr>
            <w:tcW w:w="7132" w:type="dxa"/>
          </w:tcPr>
          <w:p w14:paraId="51A0DC4B">
            <w:pP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主要用于1，4-丁二醇的分析。</w:t>
            </w:r>
          </w:p>
        </w:tc>
      </w:tr>
      <w:tr w14:paraId="2FD0D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7" w:hRule="atLeast"/>
        </w:trPr>
        <w:tc>
          <w:tcPr>
            <w:tcW w:w="2130" w:type="dxa"/>
            <w:vAlign w:val="center"/>
          </w:tcPr>
          <w:p w14:paraId="3C1E2B94">
            <w:pPr>
              <w:jc w:val="center"/>
              <w:rPr>
                <w:rFonts w:hint="eastAsia" w:ascii="黑体" w:hAnsi="黑体" w:eastAsia="黑体" w:cs="黑体"/>
                <w:sz w:val="24"/>
                <w:szCs w:val="24"/>
                <w:vertAlign w:val="baseline"/>
                <w:lang w:val="en-US" w:eastAsia="zh-CN"/>
              </w:rPr>
            </w:pPr>
            <w:r>
              <w:rPr>
                <w:rFonts w:hint="eastAsia" w:ascii="黑体" w:hAnsi="黑体" w:eastAsia="黑体" w:cs="黑体"/>
                <w:b w:val="0"/>
                <w:bCs w:val="0"/>
                <w:spacing w:val="2"/>
                <w:kern w:val="2"/>
                <w:sz w:val="24"/>
                <w:szCs w:val="24"/>
                <w:highlight w:val="none"/>
                <w:lang w:val="en-US" w:eastAsia="zh-CN" w:bidi="ar-SA"/>
              </w:rPr>
              <w:t>工作模式</w:t>
            </w:r>
          </w:p>
        </w:tc>
        <w:tc>
          <w:tcPr>
            <w:tcW w:w="7132" w:type="dxa"/>
          </w:tcPr>
          <w:p w14:paraId="6364D05C">
            <w:pPr>
              <w:spacing w:line="360" w:lineRule="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具有水分测定、水分空白测定、溴价溴指数测定（SHT 0630-1996 石油产品溴价、溴指数测定法（电量法））以及温度测量、液体处理（包括定体积加液、液体混合稀释、清洗、排空）等工作模式；具备自动平衡、预滴定功能；具有适用于进行外部萃取和溶解后进样功能方法。</w:t>
            </w:r>
          </w:p>
        </w:tc>
      </w:tr>
      <w:tr w14:paraId="1B874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1386CDCE">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配置组成</w:t>
            </w:r>
          </w:p>
        </w:tc>
        <w:tc>
          <w:tcPr>
            <w:tcW w:w="7132" w:type="dxa"/>
          </w:tcPr>
          <w:p w14:paraId="2832C32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 水分测定仪主机（含中文触摸屏）：1套；</w:t>
            </w:r>
          </w:p>
          <w:p w14:paraId="4EFB95E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 带吸排液磁力搅拌滴定台：1套；</w:t>
            </w:r>
          </w:p>
          <w:p w14:paraId="173FFD2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 有隔膜发生电极：1套；</w:t>
            </w:r>
          </w:p>
          <w:p w14:paraId="7C617FF4">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 双铂针指示电极：1套；</w:t>
            </w:r>
          </w:p>
          <w:p w14:paraId="7F4D716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5 密闭滴定杯套件：1套；</w:t>
            </w:r>
          </w:p>
          <w:p w14:paraId="014EE2C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 常规备件：分子筛干燥剂1瓶（250g）、进样口硅胶垫片1包（5片/包）、密封垫圈：1套。</w:t>
            </w:r>
          </w:p>
        </w:tc>
      </w:tr>
      <w:tr w14:paraId="2CE5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130" w:type="dxa"/>
          </w:tcPr>
          <w:p w14:paraId="704E690D">
            <w:pPr>
              <w:jc w:val="center"/>
              <w:rPr>
                <w:rFonts w:hint="default" w:ascii="黑体" w:hAnsi="黑体" w:eastAsia="黑体" w:cs="黑体"/>
                <w:sz w:val="24"/>
                <w:szCs w:val="24"/>
                <w:vertAlign w:val="baseline"/>
                <w:lang w:val="en-US" w:eastAsia="zh-CN"/>
              </w:rPr>
            </w:pPr>
            <w:r>
              <w:rPr>
                <w:rFonts w:hint="eastAsia" w:ascii="黑体" w:hAnsi="黑体" w:eastAsia="黑体" w:cs="黑体"/>
                <w:b w:val="0"/>
                <w:bCs w:val="0"/>
                <w:spacing w:val="2"/>
                <w:kern w:val="2"/>
                <w:sz w:val="24"/>
                <w:szCs w:val="24"/>
                <w:highlight w:val="none"/>
                <w:lang w:val="en-US" w:eastAsia="zh-CN" w:bidi="ar-SA"/>
              </w:rPr>
              <w:t xml:space="preserve">* </w:t>
            </w:r>
            <w:r>
              <w:rPr>
                <w:rFonts w:hint="eastAsia" w:ascii="黑体" w:hAnsi="黑体" w:eastAsia="黑体" w:cs="黑体"/>
                <w:sz w:val="24"/>
                <w:szCs w:val="24"/>
                <w:vertAlign w:val="baseline"/>
                <w:lang w:val="en-US" w:eastAsia="zh-CN"/>
              </w:rPr>
              <w:t>质保要求</w:t>
            </w:r>
          </w:p>
        </w:tc>
        <w:tc>
          <w:tcPr>
            <w:tcW w:w="7132" w:type="dxa"/>
          </w:tcPr>
          <w:p w14:paraId="4E81B44C">
            <w:pP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仪器交付后，需能正常运行365天以上。</w:t>
            </w:r>
          </w:p>
        </w:tc>
      </w:tr>
      <w:tr w14:paraId="4B921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CDBAF98">
            <w:pPr>
              <w:jc w:val="center"/>
              <w:rPr>
                <w:rFonts w:hint="eastAsia" w:ascii="黑体" w:hAnsi="黑体" w:eastAsia="黑体" w:cs="黑体"/>
                <w:sz w:val="24"/>
                <w:szCs w:val="24"/>
                <w:vertAlign w:val="baseline"/>
                <w:lang w:val="en-US" w:eastAsia="zh-CN"/>
              </w:rPr>
            </w:pPr>
          </w:p>
          <w:p w14:paraId="74D2D116">
            <w:pPr>
              <w:jc w:val="center"/>
              <w:rPr>
                <w:rFonts w:hint="eastAsia" w:ascii="黑体" w:hAnsi="黑体" w:eastAsia="黑体" w:cs="黑体"/>
                <w:sz w:val="24"/>
                <w:szCs w:val="24"/>
                <w:vertAlign w:val="baseline"/>
                <w:lang w:val="en-US" w:eastAsia="zh-CN"/>
              </w:rPr>
            </w:pPr>
          </w:p>
          <w:p w14:paraId="1CF1264C">
            <w:pPr>
              <w:jc w:val="center"/>
              <w:rPr>
                <w:rFonts w:hint="eastAsia" w:ascii="黑体" w:hAnsi="黑体" w:eastAsia="黑体" w:cs="黑体"/>
                <w:sz w:val="24"/>
                <w:szCs w:val="24"/>
                <w:vertAlign w:val="baseline"/>
                <w:lang w:val="en-US" w:eastAsia="zh-CN"/>
              </w:rPr>
            </w:pPr>
          </w:p>
          <w:p w14:paraId="71EE106D">
            <w:pPr>
              <w:jc w:val="center"/>
              <w:rPr>
                <w:rFonts w:hint="eastAsia" w:ascii="黑体" w:hAnsi="黑体" w:eastAsia="黑体" w:cs="黑体"/>
                <w:sz w:val="24"/>
                <w:szCs w:val="24"/>
                <w:vertAlign w:val="baseline"/>
                <w:lang w:val="en-US" w:eastAsia="zh-CN"/>
              </w:rPr>
            </w:pPr>
          </w:p>
          <w:p w14:paraId="5DA20C60">
            <w:pPr>
              <w:jc w:val="center"/>
              <w:rPr>
                <w:rFonts w:hint="eastAsia" w:ascii="黑体" w:hAnsi="黑体" w:eastAsia="黑体" w:cs="黑体"/>
                <w:sz w:val="24"/>
                <w:szCs w:val="24"/>
                <w:vertAlign w:val="baseline"/>
                <w:lang w:val="en-US" w:eastAsia="zh-CN"/>
              </w:rPr>
            </w:pPr>
          </w:p>
          <w:p w14:paraId="4807C6CD">
            <w:pPr>
              <w:jc w:val="center"/>
              <w:rPr>
                <w:rFonts w:hint="eastAsia" w:ascii="黑体" w:hAnsi="黑体" w:eastAsia="黑体" w:cs="黑体"/>
                <w:sz w:val="24"/>
                <w:szCs w:val="24"/>
                <w:vertAlign w:val="baseline"/>
                <w:lang w:val="en-US" w:eastAsia="zh-CN"/>
              </w:rPr>
            </w:pPr>
          </w:p>
          <w:p w14:paraId="7433A2DF">
            <w:pPr>
              <w:jc w:val="center"/>
              <w:rPr>
                <w:rFonts w:hint="eastAsia" w:ascii="黑体" w:hAnsi="黑体" w:eastAsia="黑体" w:cs="黑体"/>
                <w:sz w:val="24"/>
                <w:szCs w:val="24"/>
                <w:vertAlign w:val="baseline"/>
                <w:lang w:val="en-US" w:eastAsia="zh-CN"/>
              </w:rPr>
            </w:pPr>
          </w:p>
          <w:p w14:paraId="5A5B91B9">
            <w:pPr>
              <w:jc w:val="center"/>
              <w:rPr>
                <w:rFonts w:hint="eastAsia" w:ascii="黑体" w:hAnsi="黑体" w:eastAsia="黑体" w:cs="黑体"/>
                <w:sz w:val="24"/>
                <w:szCs w:val="24"/>
                <w:vertAlign w:val="baseline"/>
                <w:lang w:val="en-US" w:eastAsia="zh-CN"/>
              </w:rPr>
            </w:pPr>
          </w:p>
          <w:p w14:paraId="7780CB68">
            <w:pPr>
              <w:jc w:val="center"/>
              <w:rPr>
                <w:rFonts w:hint="eastAsia" w:ascii="黑体" w:hAnsi="黑体" w:eastAsia="黑体" w:cs="黑体"/>
                <w:sz w:val="24"/>
                <w:szCs w:val="24"/>
                <w:vertAlign w:val="baseline"/>
                <w:lang w:val="en-US" w:eastAsia="zh-CN"/>
              </w:rPr>
            </w:pPr>
          </w:p>
          <w:p w14:paraId="6B27BFCB">
            <w:pPr>
              <w:jc w:val="center"/>
              <w:rPr>
                <w:rFonts w:hint="eastAsia" w:ascii="黑体" w:hAnsi="黑体" w:eastAsia="黑体" w:cs="黑体"/>
                <w:sz w:val="24"/>
                <w:szCs w:val="24"/>
                <w:vertAlign w:val="baseline"/>
                <w:lang w:val="en-US" w:eastAsia="zh-CN"/>
              </w:rPr>
            </w:pPr>
          </w:p>
          <w:p w14:paraId="4EC62EDB">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参数要求</w:t>
            </w:r>
          </w:p>
        </w:tc>
        <w:tc>
          <w:tcPr>
            <w:tcW w:w="7132" w:type="dxa"/>
          </w:tcPr>
          <w:p w14:paraId="52A3D26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1内置吸排液装置，保障用户使用安全性</w:t>
            </w:r>
          </w:p>
          <w:p w14:paraId="74AA8D54">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*2可自动感知样品加入，自动开始滴定</w:t>
            </w:r>
          </w:p>
          <w:p w14:paraId="053AC47D">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3测量范围：推荐10µg ～ 200mg，最大测量极限1000mg</w:t>
            </w:r>
          </w:p>
          <w:p w14:paraId="328CEFCD">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*4测量精度：</w:t>
            </w:r>
            <w:r>
              <w:rPr>
                <w:rFonts w:hint="eastAsia" w:ascii="黑体" w:hAnsi="黑体" w:eastAsia="黑体" w:cs="黑体"/>
                <w:b w:val="0"/>
                <w:bCs w:val="0"/>
                <w:spacing w:val="2"/>
                <w:kern w:val="2"/>
                <w:sz w:val="24"/>
                <w:szCs w:val="24"/>
                <w:highlight w:val="none"/>
                <w:lang w:val="en-US" w:eastAsia="zh-CN" w:bidi="ar-SA"/>
              </w:rPr>
              <w:sym w:font="Symbol" w:char="F0A3"/>
            </w:r>
            <w:r>
              <w:rPr>
                <w:rFonts w:hint="eastAsia" w:ascii="黑体" w:hAnsi="黑体" w:eastAsia="黑体" w:cs="黑体"/>
                <w:b w:val="0"/>
                <w:bCs w:val="0"/>
                <w:spacing w:val="2"/>
                <w:kern w:val="2"/>
                <w:sz w:val="24"/>
                <w:szCs w:val="24"/>
                <w:highlight w:val="none"/>
                <w:lang w:val="en-US" w:eastAsia="zh-CN" w:bidi="ar-SA"/>
              </w:rPr>
              <w:t xml:space="preserve"> 0.3 % （H</w:t>
            </w:r>
            <w:r>
              <w:rPr>
                <w:rFonts w:hint="eastAsia" w:ascii="黑体" w:hAnsi="黑体" w:eastAsia="黑体" w:cs="黑体"/>
                <w:color w:val="000000"/>
                <w:kern w:val="0"/>
                <w:sz w:val="24"/>
                <w:szCs w:val="24"/>
                <w:highlight w:val="none"/>
                <w:vertAlign w:val="subscript"/>
                <w:lang w:bidi="ar"/>
              </w:rPr>
              <w:t>2</w:t>
            </w:r>
            <w:r>
              <w:rPr>
                <w:rFonts w:hint="eastAsia" w:ascii="黑体" w:hAnsi="黑体" w:eastAsia="黑体" w:cs="黑体"/>
                <w:b w:val="0"/>
                <w:bCs w:val="0"/>
                <w:spacing w:val="2"/>
                <w:kern w:val="2"/>
                <w:sz w:val="24"/>
                <w:szCs w:val="24"/>
                <w:highlight w:val="none"/>
                <w:lang w:val="en-US" w:eastAsia="zh-CN" w:bidi="ar-SA"/>
              </w:rPr>
              <w:t>O &gt; 1 mg 范围）</w:t>
            </w:r>
          </w:p>
          <w:p w14:paraId="344E6C6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yellow"/>
                <w:lang w:val="en-US" w:eastAsia="zh-CN" w:bidi="ar-SA"/>
              </w:rPr>
            </w:pPr>
            <w:r>
              <w:rPr>
                <w:rFonts w:hint="eastAsia" w:ascii="黑体" w:hAnsi="黑体" w:eastAsia="黑体" w:cs="黑体"/>
                <w:b w:val="0"/>
                <w:bCs w:val="0"/>
                <w:spacing w:val="2"/>
                <w:kern w:val="2"/>
                <w:sz w:val="24"/>
                <w:szCs w:val="24"/>
                <w:highlight w:val="none"/>
                <w:lang w:val="en-US" w:eastAsia="zh-CN" w:bidi="ar-SA"/>
              </w:rPr>
              <w:t>5分辨率：0.1μgH</w:t>
            </w:r>
            <w:r>
              <w:rPr>
                <w:rFonts w:hint="eastAsia" w:ascii="黑体" w:hAnsi="黑体" w:eastAsia="黑体" w:cs="黑体"/>
                <w:color w:val="000000"/>
                <w:kern w:val="0"/>
                <w:sz w:val="24"/>
                <w:szCs w:val="24"/>
                <w:highlight w:val="none"/>
                <w:vertAlign w:val="subscript"/>
                <w:lang w:bidi="ar"/>
              </w:rPr>
              <w:t>2</w:t>
            </w:r>
            <w:r>
              <w:rPr>
                <w:rFonts w:hint="eastAsia" w:ascii="黑体" w:hAnsi="黑体" w:eastAsia="黑体" w:cs="黑体"/>
                <w:b w:val="0"/>
                <w:bCs w:val="0"/>
                <w:spacing w:val="2"/>
                <w:kern w:val="2"/>
                <w:sz w:val="24"/>
                <w:szCs w:val="24"/>
                <w:highlight w:val="none"/>
                <w:lang w:val="en-US" w:eastAsia="zh-CN" w:bidi="ar-SA"/>
              </w:rPr>
              <w:t>O</w:t>
            </w:r>
          </w:p>
          <w:p w14:paraId="500F2D9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6发生电极：100mA, 200mA, 400 mA多档可调脉冲电流，在靠近终点处可实现精细加碘。</w:t>
            </w:r>
          </w:p>
          <w:p w14:paraId="3FC6F95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*7指示电极极化电流：交流电： 5μA, 10μA, 20μA 和 30 μA；直流电：–125μA ～ +125μA</w:t>
            </w:r>
          </w:p>
          <w:p w14:paraId="1022F3E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*8电压测量范围：-1200mV～+1200mV    测试分辨率：</w:t>
            </w:r>
            <w:r>
              <w:rPr>
                <w:rFonts w:hint="eastAsia" w:ascii="黑体" w:hAnsi="黑体" w:eastAsia="黑体" w:cs="黑体"/>
                <w:b w:val="0"/>
                <w:bCs w:val="0"/>
                <w:spacing w:val="2"/>
                <w:kern w:val="2"/>
                <w:sz w:val="24"/>
                <w:szCs w:val="24"/>
                <w:highlight w:val="none"/>
                <w:lang w:val="en-US" w:eastAsia="zh-CN" w:bidi="ar-SA"/>
              </w:rPr>
              <w:sym w:font="Symbol" w:char="F0A3"/>
            </w:r>
            <w:r>
              <w:rPr>
                <w:rFonts w:hint="eastAsia" w:ascii="黑体" w:hAnsi="黑体" w:eastAsia="黑体" w:cs="黑体"/>
                <w:b w:val="0"/>
                <w:bCs w:val="0"/>
                <w:spacing w:val="2"/>
                <w:kern w:val="2"/>
                <w:sz w:val="24"/>
                <w:szCs w:val="24"/>
                <w:highlight w:val="none"/>
                <w:lang w:val="en-US" w:eastAsia="zh-CN" w:bidi="ar-SA"/>
              </w:rPr>
              <w:t xml:space="preserve">0.1mV   </w:t>
            </w:r>
          </w:p>
          <w:p w14:paraId="2362D66A">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 xml:space="preserve"> 测试误差范围：±0.2mV  </w:t>
            </w:r>
          </w:p>
          <w:p w14:paraId="2DE731F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9最大滴定速度：2241µg H</w:t>
            </w:r>
            <w:r>
              <w:rPr>
                <w:rFonts w:hint="eastAsia" w:ascii="黑体" w:hAnsi="黑体" w:eastAsia="黑体" w:cs="黑体"/>
                <w:color w:val="000000"/>
                <w:kern w:val="0"/>
                <w:sz w:val="24"/>
                <w:szCs w:val="24"/>
                <w:highlight w:val="none"/>
                <w:vertAlign w:val="subscript"/>
                <w:lang w:bidi="ar"/>
              </w:rPr>
              <w:t>2</w:t>
            </w:r>
            <w:r>
              <w:rPr>
                <w:rFonts w:hint="eastAsia" w:ascii="黑体" w:hAnsi="黑体" w:eastAsia="黑体" w:cs="黑体"/>
                <w:b w:val="0"/>
                <w:bCs w:val="0"/>
                <w:spacing w:val="2"/>
                <w:kern w:val="2"/>
                <w:sz w:val="24"/>
                <w:szCs w:val="24"/>
                <w:highlight w:val="none"/>
                <w:lang w:val="en-US" w:eastAsia="zh-CN" w:bidi="ar-SA"/>
              </w:rPr>
              <w:t>O/min</w:t>
            </w:r>
          </w:p>
          <w:p w14:paraId="2820212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*10由内置的标准方法，实现仪器即启即用。具备外部萃取和空白扣除模式。</w:t>
            </w:r>
          </w:p>
          <w:p w14:paraId="47B6809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11可保存用户自定义方法数：不受限</w:t>
            </w:r>
          </w:p>
          <w:p w14:paraId="6AEB913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不小于90 mm × 120 mm的高分辨率彩色触摸屏，直观浏览参数和结果信息。</w:t>
            </w:r>
          </w:p>
          <w:p w14:paraId="79D1DBD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*12可在触摸屏上创建不小于14个快捷图标，直接调用方法进行实验；</w:t>
            </w:r>
          </w:p>
          <w:p w14:paraId="0CE1621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13 U盘存储防伪 PDF 实验报告，可通过网络发送。</w:t>
            </w:r>
          </w:p>
          <w:p w14:paraId="6B77367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14试剂被持续监测，一旦进样次数加和总量或进样水的总量等条件满足自定义的数量限制，仪器会自动提示用户更换试剂。</w:t>
            </w:r>
          </w:p>
          <w:p w14:paraId="1439659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15具有统计功能和起始、终止漂移值可调功能</w:t>
            </w:r>
          </w:p>
          <w:p w14:paraId="1037A64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16滴定控制及终点判定形式：具备绝对漂移、相对漂移以及最大时间停止功能，开始漂移值可调。</w:t>
            </w:r>
          </w:p>
          <w:p w14:paraId="187648B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17滴定搅拌系统:磁力搅拌；正反双向搅拌控制，不小于15档变速。</w:t>
            </w:r>
          </w:p>
        </w:tc>
      </w:tr>
      <w:tr w14:paraId="1C61C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9262" w:type="dxa"/>
            <w:gridSpan w:val="2"/>
            <w:shd w:val="clear" w:color="auto" w:fill="AEAAAA"/>
            <w:vAlign w:val="center"/>
          </w:tcPr>
          <w:p w14:paraId="0CFECC06">
            <w:pPr>
              <w:jc w:val="cente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bCs/>
                <w:color w:val="auto"/>
                <w:sz w:val="30"/>
                <w:szCs w:val="30"/>
                <w:highlight w:val="none"/>
                <w:shd w:val="clear" w:color="auto" w:fill="AEAAAA"/>
                <w:lang w:val="en-US" w:eastAsia="zh-CN"/>
              </w:rPr>
              <w:t>便携式水质色度仪</w:t>
            </w:r>
          </w:p>
        </w:tc>
      </w:tr>
      <w:tr w14:paraId="7CA4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130" w:type="dxa"/>
            <w:vAlign w:val="center"/>
          </w:tcPr>
          <w:p w14:paraId="2E33EF3E">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数量</w:t>
            </w:r>
          </w:p>
        </w:tc>
        <w:tc>
          <w:tcPr>
            <w:tcW w:w="7132" w:type="dxa"/>
            <w:vAlign w:val="center"/>
          </w:tcPr>
          <w:p w14:paraId="0B31C828">
            <w:pPr>
              <w:rPr>
                <w:rFonts w:hint="default"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1台</w:t>
            </w:r>
          </w:p>
        </w:tc>
      </w:tr>
      <w:tr w14:paraId="7AD92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3B9E7F29">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p>
          <w:p w14:paraId="5EE846DA">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p>
          <w:p w14:paraId="38277094">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p>
          <w:p w14:paraId="3E91971D">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p>
          <w:p w14:paraId="6CF7EDE2">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p>
          <w:p w14:paraId="508AEB5F">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p>
          <w:p w14:paraId="0994D285">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8" w:firstLineChars="200"/>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主要特点</w:t>
            </w:r>
          </w:p>
          <w:p w14:paraId="14A5BF1E">
            <w:pPr>
              <w:jc w:val="center"/>
              <w:rPr>
                <w:rFonts w:hint="eastAsia" w:ascii="黑体" w:hAnsi="黑体" w:eastAsia="黑体" w:cs="黑体"/>
                <w:b/>
                <w:bCs/>
                <w:spacing w:val="2"/>
                <w:kern w:val="2"/>
                <w:sz w:val="24"/>
                <w:szCs w:val="24"/>
                <w:highlight w:val="none"/>
                <w:lang w:val="en-US" w:eastAsia="zh-CN" w:bidi="ar-SA"/>
              </w:rPr>
            </w:pPr>
          </w:p>
        </w:tc>
        <w:tc>
          <w:tcPr>
            <w:tcW w:w="7132" w:type="dxa"/>
          </w:tcPr>
          <w:p w14:paraId="0A45465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*1、仪器需满足GB3143-1982液体化学产品颜色测定法Hazen 单位--铂-钴色号法的标准要求。</w:t>
            </w:r>
          </w:p>
          <w:p w14:paraId="1EA1A8A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2、彩色液晶屏不小于3.5英寸，显示清晰。</w:t>
            </w:r>
          </w:p>
          <w:p w14:paraId="3F4ACBB2">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3、采用365nm LED光源，寿命长，精度高。</w:t>
            </w:r>
          </w:p>
          <w:p w14:paraId="6E56B94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*4、内置测量单位：PCU，Hazen，mg Pt L-1 ，与Pt-Co，毫克铂/升相对应，采用25mm比色瓶测量。</w:t>
            </w:r>
          </w:p>
          <w:p w14:paraId="200B194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5、支持内置校准曲线和恢复默认校准曲线。</w:t>
            </w:r>
          </w:p>
          <w:p w14:paraId="6ABF02C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6、支持自定义校准曲线，支持1～ 5点标定。</w:t>
            </w:r>
          </w:p>
          <w:p w14:paraId="5A4E4EE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*7、设定稀释比，自动计算样品原始色度。</w:t>
            </w:r>
          </w:p>
          <w:p w14:paraId="66C3D31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8、支持设置用户ID和样品ID。</w:t>
            </w:r>
          </w:p>
          <w:p w14:paraId="17F71F0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9、符合GLP，支持数据存储(200套)，查阅，删除，传输和打印。</w:t>
            </w:r>
          </w:p>
          <w:p w14:paraId="16A836D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10、支持连接标准RS-232串口打印机打印测量结果。</w:t>
            </w:r>
          </w:p>
          <w:p w14:paraId="3B90A05A">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11、具有 USB 接口，通过专用通信软件与PC连接，实现数据传输。</w:t>
            </w:r>
          </w:p>
          <w:p w14:paraId="5AC22A77">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12、大容量锂电池供电，支持连接PC和移动电源充电。</w:t>
            </w:r>
          </w:p>
          <w:p w14:paraId="364A12A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13、具有电池电量提示功能和充电状态提醒功能。</w:t>
            </w:r>
          </w:p>
          <w:p w14:paraId="5160F14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14、支持背光调节和自动关机。</w:t>
            </w:r>
          </w:p>
          <w:p w14:paraId="6B9F1B8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15、IP65防护等级。</w:t>
            </w:r>
          </w:p>
          <w:p w14:paraId="22AC25F4">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*16、标配比色瓶和便携式防护箱。</w:t>
            </w:r>
          </w:p>
          <w:p w14:paraId="5CFA1BE1">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*17、仪器需带检定或者校准证书。</w:t>
            </w:r>
          </w:p>
        </w:tc>
      </w:tr>
      <w:tr w14:paraId="189A3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5800B8B4">
            <w:pPr>
              <w:jc w:val="center"/>
              <w:rPr>
                <w:rFonts w:hint="eastAsia" w:ascii="黑体" w:hAnsi="黑体" w:eastAsia="黑体" w:cs="黑体"/>
                <w:b/>
                <w:bCs/>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技术参数</w:t>
            </w:r>
          </w:p>
        </w:tc>
        <w:tc>
          <w:tcPr>
            <w:tcW w:w="7132" w:type="dxa"/>
          </w:tcPr>
          <w:p w14:paraId="7DC1D9A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*1、测量范围：（0.0～99.9）PCU，Hazen，mg Pt L-1，（100～500）PCU，Hazen，mg Pt L-1。</w:t>
            </w:r>
          </w:p>
          <w:p w14:paraId="6EFCC98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*2、示值误差：±3%或±0.5 PCU 。</w:t>
            </w:r>
          </w:p>
          <w:p w14:paraId="2E20D27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*3、重复性：≤1.5%。</w:t>
            </w:r>
          </w:p>
          <w:p w14:paraId="18927E5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4、电源：可充锂电池，电源适配器(输入：AC100～240V 输出：DC5V)</w:t>
            </w:r>
          </w:p>
        </w:tc>
      </w:tr>
      <w:tr w14:paraId="4C429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9262" w:type="dxa"/>
            <w:gridSpan w:val="2"/>
            <w:shd w:val="clear" w:color="auto" w:fill="AEAAAA"/>
            <w:vAlign w:val="center"/>
          </w:tcPr>
          <w:p w14:paraId="77D613C2">
            <w:pPr>
              <w:jc w:val="center"/>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bCs/>
                <w:color w:val="auto"/>
                <w:sz w:val="30"/>
                <w:szCs w:val="30"/>
                <w:highlight w:val="none"/>
                <w:shd w:val="clear" w:color="auto" w:fill="AEAAAA"/>
                <w:lang w:val="en-US" w:eastAsia="zh-CN"/>
              </w:rPr>
              <w:t xml:space="preserve">    煤中碳酸盐二氧化碳含量测定仪</w:t>
            </w:r>
          </w:p>
        </w:tc>
      </w:tr>
      <w:tr w14:paraId="63F59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20F7C8E2">
            <w:pPr>
              <w:jc w:val="center"/>
              <w:rPr>
                <w:rFonts w:hint="eastAsia" w:ascii="黑体" w:hAnsi="黑体" w:eastAsia="黑体" w:cs="黑体"/>
                <w:b/>
                <w:bCs/>
                <w:spacing w:val="2"/>
                <w:kern w:val="2"/>
                <w:sz w:val="24"/>
                <w:szCs w:val="24"/>
                <w:highlight w:val="none"/>
                <w:lang w:val="en-US" w:eastAsia="zh-CN" w:bidi="ar-SA"/>
              </w:rPr>
            </w:pPr>
            <w:r>
              <w:rPr>
                <w:rFonts w:hint="eastAsia" w:ascii="黑体" w:hAnsi="黑体" w:eastAsia="黑体" w:cs="黑体"/>
                <w:sz w:val="24"/>
                <w:szCs w:val="24"/>
                <w:vertAlign w:val="baseline"/>
                <w:lang w:val="en-US" w:eastAsia="zh-CN"/>
              </w:rPr>
              <w:t>数量</w:t>
            </w:r>
          </w:p>
        </w:tc>
        <w:tc>
          <w:tcPr>
            <w:tcW w:w="7132" w:type="dxa"/>
            <w:vAlign w:val="center"/>
          </w:tcPr>
          <w:p w14:paraId="1F4F312E">
            <w:pPr>
              <w:rPr>
                <w:rFonts w:hint="default"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1台</w:t>
            </w:r>
          </w:p>
        </w:tc>
      </w:tr>
      <w:tr w14:paraId="7AF79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2130" w:type="dxa"/>
            <w:vAlign w:val="center"/>
          </w:tcPr>
          <w:p w14:paraId="5CF5B4FE">
            <w:pPr>
              <w:jc w:val="center"/>
              <w:rPr>
                <w:rFonts w:hint="eastAsia" w:ascii="黑体" w:hAnsi="黑体" w:eastAsia="黑体" w:cs="黑体"/>
                <w:b/>
                <w:bCs/>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工作原理</w:t>
            </w:r>
          </w:p>
        </w:tc>
        <w:tc>
          <w:tcPr>
            <w:tcW w:w="7132" w:type="dxa"/>
            <w:vAlign w:val="center"/>
          </w:tcPr>
          <w:p w14:paraId="790815DB">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煤中碳酸盐二氧化碳测定仪应符合国家标准GB/T 218-2016《煤中碳酸盐二氧化碳含量的测定方法》，二氧化碳的测定采用碱石棉吸收重量法。定量的煤样与稀盐酸反应，煤样中的碳酸盐分解析出二氧化碳被装有碱石棉的U型管吸收，根据U型管的质量增加计算出煤中碳酸盐二氧化碳含量。</w:t>
            </w:r>
          </w:p>
        </w:tc>
      </w:tr>
      <w:tr w14:paraId="5B524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20D4CBE4">
            <w:pPr>
              <w:jc w:val="center"/>
              <w:rPr>
                <w:rFonts w:hint="eastAsia" w:ascii="黑体" w:hAnsi="黑体" w:eastAsia="黑体" w:cs="黑体"/>
                <w:b/>
                <w:bCs/>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技术参数</w:t>
            </w:r>
          </w:p>
        </w:tc>
        <w:tc>
          <w:tcPr>
            <w:tcW w:w="7132" w:type="dxa"/>
            <w:vAlign w:val="center"/>
          </w:tcPr>
          <w:p w14:paraId="702A223A">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1、气体流量：0～160ml/min ，连续可调 ；</w:t>
            </w:r>
          </w:p>
          <w:p w14:paraId="2D786E83">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2、加热电炉功率：300瓦，连续可调 ；</w:t>
            </w:r>
          </w:p>
          <w:p w14:paraId="3419F68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*3、二氧化碳测量范围：0～45% ；</w:t>
            </w:r>
          </w:p>
          <w:p w14:paraId="74F3487F">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*4、平行样允许误差：0.10% ；</w:t>
            </w:r>
          </w:p>
          <w:p w14:paraId="6FB04E9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5、定时器定时范围：0～999min，可调 ；</w:t>
            </w:r>
          </w:p>
          <w:p w14:paraId="5BE733A9">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*6、采用高性能气泵保证气流量稳定，可调节转子流量计确保试验稳定气流；</w:t>
            </w:r>
          </w:p>
          <w:p w14:paraId="573DA818">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*7、具有自动计时功能，自动控制加热反应时间和抽气吸收时间；</w:t>
            </w:r>
          </w:p>
          <w:p w14:paraId="0F45AF6D">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黑体" w:hAnsi="黑体" w:eastAsia="黑体" w:cs="黑体"/>
                <w:b w:val="0"/>
                <w:bCs w:val="0"/>
                <w:spacing w:val="2"/>
                <w:kern w:val="2"/>
                <w:sz w:val="24"/>
                <w:szCs w:val="24"/>
                <w:highlight w:val="none"/>
                <w:lang w:val="en-US" w:eastAsia="zh-CN" w:bidi="ar-SA"/>
              </w:rPr>
            </w:pPr>
            <w:r>
              <w:rPr>
                <w:rFonts w:hint="eastAsia" w:ascii="黑体" w:hAnsi="黑体" w:eastAsia="黑体" w:cs="黑体"/>
                <w:b w:val="0"/>
                <w:bCs w:val="0"/>
                <w:spacing w:val="2"/>
                <w:kern w:val="2"/>
                <w:sz w:val="24"/>
                <w:szCs w:val="24"/>
                <w:highlight w:val="none"/>
                <w:lang w:val="en-US" w:eastAsia="zh-CN" w:bidi="ar-SA"/>
              </w:rPr>
              <w:t>*8、反应和吸收全过程自动控制完成。</w:t>
            </w:r>
          </w:p>
        </w:tc>
      </w:tr>
    </w:tbl>
    <w:p w14:paraId="334D3B08">
      <w:pPr>
        <w:pStyle w:val="3"/>
        <w:bidi w:val="0"/>
        <w:spacing w:line="360" w:lineRule="auto"/>
        <w:ind w:firstLine="245" w:firstLineChars="100"/>
        <w:jc w:val="both"/>
        <w:rPr>
          <w:rFonts w:hint="eastAsia" w:ascii="黑体" w:hAnsi="黑体" w:eastAsia="黑体" w:cs="黑体"/>
          <w:b/>
          <w:bCs/>
          <w:spacing w:val="2"/>
          <w:kern w:val="2"/>
          <w:sz w:val="24"/>
          <w:szCs w:val="24"/>
          <w:highlight w:val="none"/>
          <w:lang w:val="en-US" w:eastAsia="zh-CN" w:bidi="ar-SA"/>
        </w:rPr>
      </w:pPr>
      <w:r>
        <w:rPr>
          <w:rFonts w:hint="eastAsia" w:ascii="黑体" w:hAnsi="黑体" w:eastAsia="黑体" w:cs="黑体"/>
          <w:b/>
          <w:bCs/>
          <w:spacing w:val="2"/>
          <w:kern w:val="2"/>
          <w:sz w:val="24"/>
          <w:szCs w:val="24"/>
          <w:highlight w:val="none"/>
          <w:lang w:val="en-US" w:eastAsia="zh-CN" w:bidi="ar-SA"/>
        </w:rPr>
        <w:t>注：本项目参数允许正偏离，不允许负偏离。竞争性磋商文件中标“*”号的条款为实质性条款，投标人需满足参数要求，如不满足则导致投标无效。标“*”号的条款，必须提供相关佐证材料，佐证材料包括：实物图、设计图、技术证明、公开发布的印刷资料（彩页或产品宣传册）或国家认可的检测机构出具的检测报告或竞争性磋商文件中明确要求的其他要求的材料等，未附相关技术佐证文件或提供的技术佐证文件未真实反映该指标参数的，评标委员会有理由认为该指标参数不满足竞争性磋商文件要求的技术参数指标。</w:t>
      </w:r>
    </w:p>
    <w:p w14:paraId="404B54F3">
      <w:pPr>
        <w:pStyle w:val="2"/>
        <w:numPr>
          <w:ilvl w:val="0"/>
          <w:numId w:val="0"/>
        </w:numPr>
        <w:spacing w:line="480" w:lineRule="auto"/>
        <w:ind w:leftChars="196"/>
        <w:rPr>
          <w:rFonts w:hint="eastAsia" w:ascii="黑体" w:hAnsi="黑体" w:eastAsia="黑体" w:cs="黑体"/>
          <w:b/>
          <w:bCs/>
          <w:spacing w:val="2"/>
          <w:kern w:val="2"/>
          <w:sz w:val="28"/>
          <w:szCs w:val="28"/>
          <w:highlight w:val="none"/>
          <w:lang w:val="en-US" w:eastAsia="zh-CN" w:bidi="ar-SA"/>
        </w:rPr>
      </w:pPr>
      <w:r>
        <w:rPr>
          <w:rFonts w:hint="eastAsia" w:ascii="黑体" w:hAnsi="黑体" w:eastAsia="黑体" w:cs="黑体"/>
          <w:b/>
          <w:bCs/>
          <w:spacing w:val="2"/>
          <w:kern w:val="2"/>
          <w:sz w:val="28"/>
          <w:szCs w:val="28"/>
          <w:highlight w:val="none"/>
          <w:lang w:val="en-US" w:eastAsia="zh-CN" w:bidi="ar-SA"/>
        </w:rPr>
        <w:t>四、售后服务</w:t>
      </w:r>
    </w:p>
    <w:p w14:paraId="4B8DB36A">
      <w:pPr>
        <w:pStyle w:val="2"/>
        <w:numPr>
          <w:ilvl w:val="0"/>
          <w:numId w:val="0"/>
        </w:numPr>
        <w:spacing w:line="480" w:lineRule="auto"/>
        <w:ind w:firstLine="480" w:firstLineChars="200"/>
        <w:rPr>
          <w:rFonts w:hint="default"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1.质保服务</w:t>
      </w:r>
      <w:r>
        <w:rPr>
          <w:rFonts w:hint="default" w:ascii="黑体" w:hAnsi="黑体" w:eastAsia="黑体" w:cs="黑体"/>
          <w:color w:val="000000"/>
          <w:sz w:val="24"/>
          <w:szCs w:val="24"/>
          <w:highlight w:val="none"/>
          <w:lang w:val="en-US" w:eastAsia="zh-CN"/>
        </w:rPr>
        <w:t>：</w:t>
      </w:r>
      <w:r>
        <w:rPr>
          <w:rFonts w:hint="eastAsia" w:ascii="黑体" w:hAnsi="黑体" w:eastAsia="黑体" w:cs="黑体"/>
          <w:color w:val="000000"/>
          <w:sz w:val="24"/>
          <w:szCs w:val="24"/>
          <w:highlight w:val="none"/>
          <w:lang w:val="en-US" w:eastAsia="zh-CN"/>
        </w:rPr>
        <w:t>供应商应提供</w:t>
      </w:r>
      <w:r>
        <w:rPr>
          <w:rFonts w:hint="default" w:ascii="黑体" w:hAnsi="黑体" w:eastAsia="黑体" w:cs="黑体"/>
          <w:color w:val="000000"/>
          <w:sz w:val="24"/>
          <w:szCs w:val="24"/>
          <w:highlight w:val="none"/>
          <w:lang w:val="en-US" w:eastAsia="zh-CN"/>
        </w:rPr>
        <w:t>一年的免费</w:t>
      </w:r>
      <w:r>
        <w:rPr>
          <w:rFonts w:hint="eastAsia" w:ascii="黑体" w:hAnsi="黑体" w:eastAsia="黑体" w:cs="黑体"/>
          <w:color w:val="000000"/>
          <w:sz w:val="24"/>
          <w:szCs w:val="24"/>
          <w:highlight w:val="none"/>
          <w:lang w:val="en-US" w:eastAsia="zh-CN"/>
        </w:rPr>
        <w:t>维修</w:t>
      </w:r>
      <w:r>
        <w:rPr>
          <w:rFonts w:hint="default" w:ascii="黑体" w:hAnsi="黑体" w:eastAsia="黑体" w:cs="黑体"/>
          <w:color w:val="000000"/>
          <w:sz w:val="24"/>
          <w:szCs w:val="24"/>
          <w:highlight w:val="none"/>
          <w:lang w:val="en-US" w:eastAsia="zh-CN"/>
        </w:rPr>
        <w:t>服务</w:t>
      </w:r>
      <w:r>
        <w:rPr>
          <w:rFonts w:hint="eastAsia" w:ascii="黑体" w:hAnsi="黑体" w:eastAsia="黑体" w:cs="黑体"/>
          <w:color w:val="000000"/>
          <w:sz w:val="24"/>
          <w:szCs w:val="24"/>
          <w:highlight w:val="none"/>
          <w:lang w:val="en-US" w:eastAsia="zh-CN"/>
        </w:rPr>
        <w:t>。</w:t>
      </w:r>
    </w:p>
    <w:p w14:paraId="79CC9B49">
      <w:pPr>
        <w:pStyle w:val="2"/>
        <w:numPr>
          <w:ilvl w:val="0"/>
          <w:numId w:val="0"/>
        </w:numPr>
        <w:spacing w:line="480" w:lineRule="auto"/>
        <w:ind w:firstLine="480" w:firstLineChars="200"/>
        <w:rPr>
          <w:rFonts w:hint="default"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2.保修期内的软件系统如需升级，供应商应免费提供相应的升级服务。</w:t>
      </w:r>
    </w:p>
    <w:p w14:paraId="2122AEEC">
      <w:pPr>
        <w:pStyle w:val="2"/>
        <w:numPr>
          <w:ilvl w:val="0"/>
          <w:numId w:val="0"/>
        </w:numPr>
        <w:spacing w:line="480" w:lineRule="auto"/>
        <w:ind w:firstLine="480" w:firstLineChars="200"/>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3.文件资料：供应商应提供设备的使用及安装、调试、维护手册。</w:t>
      </w:r>
    </w:p>
    <w:p w14:paraId="49ED35B7">
      <w:pPr>
        <w:pStyle w:val="2"/>
        <w:numPr>
          <w:ilvl w:val="0"/>
          <w:numId w:val="0"/>
        </w:numPr>
        <w:spacing w:line="480" w:lineRule="auto"/>
        <w:ind w:firstLine="480" w:firstLineChars="200"/>
        <w:rPr>
          <w:rFonts w:hint="eastAsia"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4.现场培训：负责对操作人员进行仪器基本操作和维护知识的培训，保证相关人员能独立进行基本操作和数据处理。</w:t>
      </w:r>
    </w:p>
    <w:p w14:paraId="1C4107CD">
      <w:pPr>
        <w:pStyle w:val="2"/>
        <w:numPr>
          <w:ilvl w:val="0"/>
          <w:numId w:val="0"/>
        </w:numPr>
        <w:spacing w:line="480" w:lineRule="auto"/>
        <w:ind w:firstLine="480" w:firstLineChars="200"/>
        <w:rPr>
          <w:rFonts w:hint="default" w:ascii="黑体" w:hAnsi="黑体" w:eastAsia="黑体" w:cs="黑体"/>
          <w:color w:val="000000"/>
          <w:sz w:val="24"/>
          <w:szCs w:val="24"/>
          <w:highlight w:val="none"/>
          <w:lang w:val="en-US" w:eastAsia="zh-CN"/>
        </w:rPr>
        <w:sectPr>
          <w:pgSz w:w="11850" w:h="16783"/>
          <w:pgMar w:top="1440" w:right="1080" w:bottom="1440" w:left="1080" w:header="851" w:footer="992" w:gutter="0"/>
          <w:pgNumType w:fmt="decimal"/>
          <w:cols w:space="720" w:num="1"/>
        </w:sectPr>
      </w:pPr>
      <w:r>
        <w:rPr>
          <w:rFonts w:hint="default" w:ascii="黑体" w:hAnsi="黑体" w:eastAsia="黑体" w:cs="黑体"/>
          <w:color w:val="000000"/>
          <w:sz w:val="24"/>
          <w:szCs w:val="24"/>
          <w:highlight w:val="none"/>
          <w:lang w:val="en-US" w:eastAsia="zh-CN"/>
        </w:rPr>
        <w:br w:type="textWrapping"/>
      </w:r>
    </w:p>
    <w:p w14:paraId="0DB755E7">
      <w:pPr>
        <w:pStyle w:val="3"/>
        <w:bidi w:val="0"/>
        <w:jc w:val="center"/>
        <w:rPr>
          <w:rFonts w:hint="eastAsia" w:ascii="黑体" w:hAnsi="黑体" w:eastAsia="黑体" w:cs="黑体"/>
        </w:rPr>
      </w:pPr>
      <w:bookmarkStart w:id="352" w:name="_Toc30418"/>
      <w:bookmarkStart w:id="353" w:name="_Toc20186"/>
      <w:bookmarkStart w:id="354" w:name="_Toc421834189"/>
      <w:r>
        <w:rPr>
          <w:rFonts w:hint="eastAsia" w:ascii="黑体" w:hAnsi="黑体" w:eastAsia="黑体" w:cs="黑体"/>
        </w:rPr>
        <w:t>第</w:t>
      </w:r>
      <w:r>
        <w:rPr>
          <w:rFonts w:hint="eastAsia" w:ascii="黑体" w:hAnsi="黑体" w:eastAsia="黑体" w:cs="黑体"/>
          <w:lang w:val="en-US" w:eastAsia="zh-CN"/>
        </w:rPr>
        <w:t>六</w:t>
      </w:r>
      <w:r>
        <w:rPr>
          <w:rFonts w:hint="eastAsia" w:ascii="黑体" w:hAnsi="黑体" w:eastAsia="黑体" w:cs="黑体"/>
        </w:rPr>
        <w:t>章  响应文件格式</w:t>
      </w:r>
      <w:bookmarkEnd w:id="352"/>
      <w:bookmarkEnd w:id="353"/>
      <w:bookmarkEnd w:id="354"/>
    </w:p>
    <w:p w14:paraId="03C5B84D">
      <w:pPr>
        <w:rPr>
          <w:rFonts w:hint="eastAsia" w:ascii="黑体" w:hAnsi="黑体" w:eastAsia="黑体" w:cs="黑体"/>
        </w:rPr>
      </w:pPr>
    </w:p>
    <w:p w14:paraId="73D588C7">
      <w:pPr>
        <w:topLinePunct/>
        <w:ind w:firstLine="7280" w:firstLineChars="2600"/>
        <w:jc w:val="left"/>
        <w:rPr>
          <w:rFonts w:hint="eastAsia" w:ascii="黑体" w:hAnsi="黑体" w:eastAsia="黑体" w:cs="黑体"/>
          <w:sz w:val="28"/>
          <w:szCs w:val="28"/>
        </w:rPr>
      </w:pPr>
    </w:p>
    <w:p w14:paraId="0C7FCCDF">
      <w:pPr>
        <w:topLinePunct/>
        <w:ind w:firstLine="7280" w:firstLineChars="2600"/>
        <w:jc w:val="left"/>
        <w:rPr>
          <w:rFonts w:hint="eastAsia" w:ascii="黑体" w:hAnsi="黑体" w:eastAsia="黑体" w:cs="黑体"/>
          <w:sz w:val="28"/>
          <w:szCs w:val="28"/>
        </w:rPr>
      </w:pPr>
    </w:p>
    <w:p w14:paraId="5967D5A7">
      <w:pPr>
        <w:topLinePunct/>
        <w:ind w:firstLine="7280" w:firstLineChars="2600"/>
        <w:jc w:val="left"/>
        <w:rPr>
          <w:rFonts w:hint="eastAsia" w:ascii="黑体" w:hAnsi="黑体" w:eastAsia="黑体" w:cs="黑体"/>
          <w:sz w:val="28"/>
          <w:szCs w:val="28"/>
        </w:rPr>
      </w:pPr>
    </w:p>
    <w:p w14:paraId="6AA353ED">
      <w:pPr>
        <w:topLinePunct/>
        <w:ind w:firstLine="7280" w:firstLineChars="2600"/>
        <w:jc w:val="left"/>
        <w:rPr>
          <w:rFonts w:hint="eastAsia" w:ascii="黑体" w:hAnsi="黑体" w:eastAsia="黑体" w:cs="黑体"/>
          <w:sz w:val="28"/>
          <w:szCs w:val="28"/>
        </w:rPr>
      </w:pPr>
    </w:p>
    <w:p w14:paraId="541E08B6">
      <w:pPr>
        <w:topLinePunct/>
        <w:ind w:firstLine="7280" w:firstLineChars="2600"/>
        <w:jc w:val="left"/>
        <w:rPr>
          <w:rFonts w:hint="eastAsia" w:ascii="黑体" w:hAnsi="黑体" w:eastAsia="黑体" w:cs="黑体"/>
          <w:sz w:val="28"/>
          <w:szCs w:val="28"/>
        </w:rPr>
      </w:pPr>
    </w:p>
    <w:p w14:paraId="3B0178A6">
      <w:pPr>
        <w:topLinePunct/>
        <w:ind w:firstLine="7280" w:firstLineChars="2600"/>
        <w:jc w:val="left"/>
        <w:rPr>
          <w:rFonts w:hint="eastAsia" w:ascii="黑体" w:hAnsi="黑体" w:eastAsia="黑体" w:cs="黑体"/>
          <w:sz w:val="28"/>
          <w:szCs w:val="28"/>
        </w:rPr>
      </w:pPr>
    </w:p>
    <w:p w14:paraId="7E63FF2A">
      <w:pPr>
        <w:topLinePunct/>
        <w:ind w:firstLine="7280" w:firstLineChars="2600"/>
        <w:jc w:val="left"/>
        <w:rPr>
          <w:rFonts w:hint="eastAsia" w:ascii="黑体" w:hAnsi="黑体" w:eastAsia="黑体" w:cs="黑体"/>
          <w:sz w:val="28"/>
          <w:szCs w:val="28"/>
        </w:rPr>
      </w:pPr>
    </w:p>
    <w:p w14:paraId="44AFCFFA">
      <w:pPr>
        <w:topLinePunct/>
        <w:ind w:firstLine="7280" w:firstLineChars="2600"/>
        <w:jc w:val="left"/>
        <w:rPr>
          <w:rFonts w:hint="eastAsia" w:ascii="黑体" w:hAnsi="黑体" w:eastAsia="黑体" w:cs="黑体"/>
          <w:sz w:val="28"/>
          <w:szCs w:val="28"/>
        </w:rPr>
      </w:pPr>
    </w:p>
    <w:p w14:paraId="0DBF97A0">
      <w:pPr>
        <w:topLinePunct/>
        <w:ind w:firstLine="7280" w:firstLineChars="2600"/>
        <w:jc w:val="left"/>
        <w:rPr>
          <w:rFonts w:hint="eastAsia" w:ascii="黑体" w:hAnsi="黑体" w:eastAsia="黑体" w:cs="黑体"/>
          <w:sz w:val="28"/>
          <w:szCs w:val="28"/>
        </w:rPr>
      </w:pPr>
    </w:p>
    <w:p w14:paraId="48ED54B7">
      <w:pPr>
        <w:topLinePunct/>
        <w:ind w:firstLine="7280" w:firstLineChars="2600"/>
        <w:jc w:val="left"/>
        <w:rPr>
          <w:rFonts w:hint="eastAsia" w:ascii="黑体" w:hAnsi="黑体" w:eastAsia="黑体" w:cs="黑体"/>
          <w:sz w:val="28"/>
          <w:szCs w:val="28"/>
        </w:rPr>
      </w:pPr>
    </w:p>
    <w:p w14:paraId="357B4BE2">
      <w:pPr>
        <w:topLinePunct/>
        <w:ind w:firstLine="7280" w:firstLineChars="2600"/>
        <w:jc w:val="left"/>
        <w:rPr>
          <w:rFonts w:hint="eastAsia" w:ascii="黑体" w:hAnsi="黑体" w:eastAsia="黑体" w:cs="黑体"/>
          <w:sz w:val="28"/>
          <w:szCs w:val="28"/>
        </w:rPr>
      </w:pPr>
    </w:p>
    <w:p w14:paraId="4F2E132D">
      <w:pPr>
        <w:rPr>
          <w:rFonts w:hint="eastAsia" w:ascii="黑体" w:hAnsi="黑体" w:eastAsia="黑体" w:cs="黑体"/>
          <w:sz w:val="28"/>
          <w:szCs w:val="28"/>
        </w:rPr>
      </w:pPr>
      <w:r>
        <w:rPr>
          <w:rFonts w:hint="eastAsia" w:ascii="黑体" w:hAnsi="黑体" w:eastAsia="黑体" w:cs="黑体"/>
          <w:sz w:val="28"/>
          <w:szCs w:val="28"/>
        </w:rPr>
        <w:br w:type="page"/>
      </w:r>
    </w:p>
    <w:p w14:paraId="5FF35AEC">
      <w:pPr>
        <w:topLinePunct/>
        <w:ind w:firstLine="7280" w:firstLineChars="2600"/>
        <w:jc w:val="left"/>
        <w:rPr>
          <w:rFonts w:hint="eastAsia" w:ascii="黑体" w:hAnsi="黑体" w:eastAsia="黑体" w:cs="黑体"/>
          <w:sz w:val="28"/>
          <w:szCs w:val="28"/>
        </w:rPr>
      </w:pPr>
    </w:p>
    <w:p w14:paraId="1B0D235F">
      <w:pPr>
        <w:topLinePunct/>
        <w:ind w:firstLine="7280" w:firstLineChars="2600"/>
        <w:jc w:val="left"/>
        <w:rPr>
          <w:rFonts w:hint="eastAsia" w:ascii="黑体" w:hAnsi="黑体" w:eastAsia="黑体" w:cs="黑体"/>
          <w:sz w:val="28"/>
          <w:szCs w:val="28"/>
        </w:rPr>
      </w:pPr>
    </w:p>
    <w:p w14:paraId="5C9F7E6A">
      <w:pPr>
        <w:pStyle w:val="14"/>
        <w:rPr>
          <w:rFonts w:hint="eastAsia" w:ascii="黑体" w:hAnsi="黑体" w:eastAsia="黑体" w:cs="黑体"/>
        </w:rPr>
      </w:pPr>
    </w:p>
    <w:p w14:paraId="0BA58A71">
      <w:pPr>
        <w:topLinePunct/>
        <w:ind w:firstLine="8120" w:firstLineChars="2900"/>
        <w:jc w:val="left"/>
        <w:rPr>
          <w:rFonts w:hint="eastAsia" w:ascii="黑体" w:hAnsi="黑体" w:eastAsia="黑体" w:cs="黑体"/>
          <w:sz w:val="28"/>
          <w:szCs w:val="28"/>
        </w:rPr>
      </w:pPr>
      <w:r>
        <w:rPr>
          <w:rFonts w:hint="eastAsia" w:ascii="黑体" w:hAnsi="黑体" w:eastAsia="黑体" w:cs="黑体"/>
          <w:sz w:val="28"/>
          <w:szCs w:val="28"/>
        </w:rPr>
        <w:t>正本（副本）</w:t>
      </w:r>
    </w:p>
    <w:p w14:paraId="424FCC3A">
      <w:pPr>
        <w:topLinePunct/>
        <w:jc w:val="center"/>
        <w:rPr>
          <w:rFonts w:hint="eastAsia" w:ascii="黑体" w:hAnsi="黑体" w:eastAsia="黑体" w:cs="黑体"/>
          <w:szCs w:val="21"/>
        </w:rPr>
      </w:pPr>
    </w:p>
    <w:p w14:paraId="0B16481C">
      <w:pPr>
        <w:topLinePunct/>
        <w:jc w:val="center"/>
        <w:rPr>
          <w:rFonts w:hint="eastAsia" w:ascii="黑体" w:hAnsi="黑体" w:eastAsia="黑体" w:cs="黑体"/>
          <w:szCs w:val="21"/>
        </w:rPr>
      </w:pPr>
    </w:p>
    <w:p w14:paraId="459C5714">
      <w:pPr>
        <w:jc w:val="center"/>
        <w:rPr>
          <w:rFonts w:hint="eastAsia" w:ascii="黑体" w:hAnsi="黑体" w:eastAsia="黑体" w:cs="黑体"/>
          <w:sz w:val="52"/>
          <w:szCs w:val="52"/>
        </w:rPr>
      </w:pPr>
      <w:r>
        <w:rPr>
          <w:rFonts w:hint="eastAsia" w:ascii="黑体" w:hAnsi="黑体" w:eastAsia="黑体" w:cs="黑体"/>
          <w:sz w:val="52"/>
          <w:szCs w:val="52"/>
          <w:u w:val="single"/>
        </w:rPr>
        <w:t xml:space="preserve">                    </w:t>
      </w:r>
      <w:r>
        <w:rPr>
          <w:rFonts w:hint="eastAsia" w:ascii="黑体" w:hAnsi="黑体" w:eastAsia="黑体" w:cs="黑体"/>
          <w:sz w:val="52"/>
          <w:szCs w:val="52"/>
        </w:rPr>
        <w:t>项目</w:t>
      </w:r>
    </w:p>
    <w:p w14:paraId="69A2713F">
      <w:pPr>
        <w:topLinePunct/>
        <w:jc w:val="center"/>
        <w:rPr>
          <w:rFonts w:hint="eastAsia" w:ascii="黑体" w:hAnsi="黑体" w:eastAsia="黑体" w:cs="黑体"/>
          <w:szCs w:val="21"/>
        </w:rPr>
      </w:pPr>
    </w:p>
    <w:p w14:paraId="00F4C6C6">
      <w:pPr>
        <w:topLinePunct/>
        <w:jc w:val="center"/>
        <w:rPr>
          <w:rFonts w:hint="eastAsia" w:ascii="黑体" w:hAnsi="黑体" w:eastAsia="黑体" w:cs="黑体"/>
          <w:szCs w:val="21"/>
        </w:rPr>
      </w:pPr>
    </w:p>
    <w:p w14:paraId="5C3A2725">
      <w:pPr>
        <w:topLinePunct/>
        <w:jc w:val="center"/>
        <w:rPr>
          <w:rFonts w:hint="eastAsia" w:ascii="黑体" w:hAnsi="黑体" w:eastAsia="黑体" w:cs="黑体"/>
          <w:szCs w:val="21"/>
        </w:rPr>
      </w:pPr>
    </w:p>
    <w:p w14:paraId="2E37ED9A">
      <w:pPr>
        <w:topLinePunct/>
        <w:ind w:firstLine="3360" w:firstLineChars="1200"/>
        <w:rPr>
          <w:rFonts w:hint="eastAsia" w:ascii="黑体" w:hAnsi="黑体" w:eastAsia="黑体" w:cs="黑体"/>
          <w:sz w:val="28"/>
          <w:szCs w:val="28"/>
        </w:rPr>
      </w:pPr>
      <w:r>
        <w:rPr>
          <w:rFonts w:hint="eastAsia" w:ascii="黑体" w:hAnsi="黑体" w:eastAsia="黑体" w:cs="黑体"/>
          <w:sz w:val="28"/>
          <w:szCs w:val="28"/>
        </w:rPr>
        <w:t>项目编号：</w:t>
      </w:r>
    </w:p>
    <w:p w14:paraId="3A495361">
      <w:pPr>
        <w:topLinePunct/>
        <w:jc w:val="center"/>
        <w:rPr>
          <w:rFonts w:hint="eastAsia" w:ascii="黑体" w:hAnsi="黑体" w:eastAsia="黑体" w:cs="黑体"/>
          <w:szCs w:val="21"/>
        </w:rPr>
      </w:pPr>
    </w:p>
    <w:p w14:paraId="535C4DA2">
      <w:pPr>
        <w:topLinePunct/>
        <w:rPr>
          <w:rFonts w:hint="eastAsia" w:ascii="黑体" w:hAnsi="黑体" w:eastAsia="黑体" w:cs="黑体"/>
          <w:szCs w:val="21"/>
        </w:rPr>
      </w:pPr>
    </w:p>
    <w:p w14:paraId="051583CA">
      <w:pPr>
        <w:topLinePunct/>
        <w:jc w:val="center"/>
        <w:rPr>
          <w:rFonts w:hint="eastAsia" w:ascii="黑体" w:hAnsi="黑体" w:eastAsia="黑体" w:cs="黑体"/>
          <w:szCs w:val="21"/>
        </w:rPr>
      </w:pPr>
    </w:p>
    <w:p w14:paraId="7BFCB5A0">
      <w:pPr>
        <w:topLinePunct/>
        <w:jc w:val="center"/>
        <w:rPr>
          <w:rFonts w:hint="eastAsia" w:ascii="黑体" w:hAnsi="黑体" w:eastAsia="黑体" w:cs="黑体"/>
          <w:szCs w:val="21"/>
        </w:rPr>
      </w:pPr>
    </w:p>
    <w:p w14:paraId="182552D8">
      <w:pPr>
        <w:topLinePunct/>
        <w:jc w:val="center"/>
        <w:rPr>
          <w:rFonts w:hint="eastAsia" w:ascii="黑体" w:hAnsi="黑体" w:eastAsia="黑体" w:cs="黑体"/>
          <w:szCs w:val="21"/>
        </w:rPr>
      </w:pPr>
    </w:p>
    <w:p w14:paraId="5DF4A77A">
      <w:pPr>
        <w:topLinePunct/>
        <w:jc w:val="center"/>
        <w:rPr>
          <w:rFonts w:hint="eastAsia" w:ascii="黑体" w:hAnsi="黑体" w:eastAsia="黑体" w:cs="黑体"/>
          <w:szCs w:val="21"/>
        </w:rPr>
      </w:pPr>
    </w:p>
    <w:p w14:paraId="1DE4D95F">
      <w:pPr>
        <w:jc w:val="center"/>
        <w:rPr>
          <w:rFonts w:hint="eastAsia" w:ascii="黑体" w:hAnsi="黑体" w:eastAsia="黑体" w:cs="黑体"/>
          <w:sz w:val="72"/>
          <w:szCs w:val="72"/>
        </w:rPr>
      </w:pPr>
      <w:r>
        <w:rPr>
          <w:rFonts w:hint="eastAsia" w:ascii="黑体" w:hAnsi="黑体" w:eastAsia="黑体" w:cs="黑体"/>
          <w:sz w:val="72"/>
          <w:szCs w:val="72"/>
        </w:rPr>
        <w:t>竞争性磋商响应文件</w:t>
      </w:r>
    </w:p>
    <w:p w14:paraId="1A92D552">
      <w:pPr>
        <w:topLinePunct/>
        <w:jc w:val="center"/>
        <w:rPr>
          <w:rFonts w:hint="eastAsia" w:ascii="黑体" w:hAnsi="黑体" w:eastAsia="黑体" w:cs="黑体"/>
          <w:szCs w:val="21"/>
        </w:rPr>
      </w:pPr>
    </w:p>
    <w:p w14:paraId="33AE69C1">
      <w:pPr>
        <w:topLinePunct/>
        <w:jc w:val="center"/>
        <w:rPr>
          <w:rFonts w:hint="eastAsia" w:ascii="黑体" w:hAnsi="黑体" w:eastAsia="黑体" w:cs="黑体"/>
          <w:szCs w:val="21"/>
        </w:rPr>
      </w:pPr>
    </w:p>
    <w:p w14:paraId="1D18947E">
      <w:pPr>
        <w:topLinePunct/>
        <w:jc w:val="center"/>
        <w:rPr>
          <w:rFonts w:hint="eastAsia" w:ascii="黑体" w:hAnsi="黑体" w:eastAsia="黑体" w:cs="黑体"/>
          <w:szCs w:val="21"/>
        </w:rPr>
      </w:pPr>
    </w:p>
    <w:p w14:paraId="16E7A43E">
      <w:pPr>
        <w:pStyle w:val="11"/>
        <w:rPr>
          <w:rFonts w:hint="eastAsia" w:ascii="黑体" w:hAnsi="黑体" w:eastAsia="黑体" w:cs="黑体"/>
          <w:szCs w:val="21"/>
        </w:rPr>
      </w:pPr>
    </w:p>
    <w:p w14:paraId="6EB32DF0">
      <w:pPr>
        <w:rPr>
          <w:rFonts w:hint="eastAsia"/>
        </w:rPr>
      </w:pPr>
    </w:p>
    <w:p w14:paraId="2012D479">
      <w:pPr>
        <w:topLinePunct/>
        <w:jc w:val="center"/>
        <w:rPr>
          <w:rFonts w:hint="eastAsia" w:ascii="黑体" w:hAnsi="黑体" w:eastAsia="黑体" w:cs="黑体"/>
          <w:szCs w:val="21"/>
        </w:rPr>
      </w:pPr>
    </w:p>
    <w:p w14:paraId="0551F23C">
      <w:pPr>
        <w:topLinePunct/>
        <w:jc w:val="center"/>
        <w:rPr>
          <w:rFonts w:hint="eastAsia" w:ascii="黑体" w:hAnsi="黑体" w:eastAsia="黑体" w:cs="黑体"/>
          <w:szCs w:val="21"/>
        </w:rPr>
      </w:pPr>
    </w:p>
    <w:p w14:paraId="213FF41A">
      <w:pPr>
        <w:topLinePunct/>
        <w:jc w:val="center"/>
        <w:rPr>
          <w:rFonts w:hint="eastAsia" w:ascii="黑体" w:hAnsi="黑体" w:eastAsia="黑体" w:cs="黑体"/>
          <w:szCs w:val="21"/>
        </w:rPr>
      </w:pPr>
    </w:p>
    <w:p w14:paraId="6D5BC542">
      <w:pPr>
        <w:topLinePunct/>
        <w:jc w:val="center"/>
        <w:rPr>
          <w:rFonts w:hint="eastAsia" w:ascii="黑体" w:hAnsi="黑体" w:eastAsia="黑体" w:cs="黑体"/>
          <w:szCs w:val="21"/>
        </w:rPr>
      </w:pPr>
    </w:p>
    <w:p w14:paraId="08E653C6">
      <w:pPr>
        <w:topLinePunct/>
        <w:jc w:val="center"/>
        <w:rPr>
          <w:rFonts w:hint="eastAsia" w:ascii="黑体" w:hAnsi="黑体" w:eastAsia="黑体" w:cs="黑体"/>
          <w:szCs w:val="21"/>
        </w:rPr>
      </w:pPr>
    </w:p>
    <w:p w14:paraId="2A3FE6F8">
      <w:pPr>
        <w:topLinePunct/>
        <w:jc w:val="center"/>
        <w:rPr>
          <w:rFonts w:hint="eastAsia" w:ascii="黑体" w:hAnsi="黑体" w:eastAsia="黑体" w:cs="黑体"/>
          <w:szCs w:val="21"/>
        </w:rPr>
      </w:pPr>
    </w:p>
    <w:p w14:paraId="32617546">
      <w:pPr>
        <w:topLinePunct/>
        <w:jc w:val="center"/>
        <w:rPr>
          <w:rFonts w:hint="eastAsia" w:ascii="黑体" w:hAnsi="黑体" w:eastAsia="黑体" w:cs="黑体"/>
          <w:szCs w:val="21"/>
        </w:rPr>
      </w:pPr>
    </w:p>
    <w:p w14:paraId="100E1DE2">
      <w:pPr>
        <w:spacing w:line="360" w:lineRule="auto"/>
        <w:jc w:val="center"/>
        <w:rPr>
          <w:rFonts w:hint="eastAsia" w:ascii="黑体" w:hAnsi="黑体" w:eastAsia="黑体" w:cs="黑体"/>
          <w:sz w:val="30"/>
          <w:szCs w:val="30"/>
        </w:rPr>
      </w:pPr>
      <w:r>
        <w:rPr>
          <w:rFonts w:hint="eastAsia" w:ascii="黑体" w:hAnsi="黑体" w:eastAsia="黑体" w:cs="黑体"/>
          <w:sz w:val="30"/>
          <w:szCs w:val="30"/>
        </w:rPr>
        <w:t>供应商：</w:t>
      </w:r>
      <w:r>
        <w:rPr>
          <w:rFonts w:hint="eastAsia" w:ascii="黑体" w:hAnsi="黑体" w:eastAsia="黑体" w:cs="黑体"/>
          <w:sz w:val="30"/>
          <w:szCs w:val="30"/>
          <w:u w:val="single"/>
        </w:rPr>
        <w:t xml:space="preserve">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w:t>
      </w:r>
      <w:r>
        <w:rPr>
          <w:rFonts w:hint="eastAsia" w:ascii="黑体" w:hAnsi="黑体" w:eastAsia="黑体" w:cs="黑体"/>
          <w:sz w:val="30"/>
          <w:szCs w:val="30"/>
        </w:rPr>
        <w:t>（盖单位章）</w:t>
      </w:r>
    </w:p>
    <w:p w14:paraId="510644DD">
      <w:pPr>
        <w:tabs>
          <w:tab w:val="left" w:pos="2977"/>
          <w:tab w:val="left" w:pos="3119"/>
        </w:tabs>
        <w:spacing w:line="360" w:lineRule="auto"/>
        <w:jc w:val="center"/>
        <w:rPr>
          <w:rFonts w:hint="eastAsia" w:ascii="黑体" w:hAnsi="黑体" w:eastAsia="黑体" w:cs="黑体"/>
          <w:sz w:val="30"/>
          <w:szCs w:val="30"/>
        </w:rPr>
      </w:pPr>
    </w:p>
    <w:p w14:paraId="1D9ED127">
      <w:pPr>
        <w:tabs>
          <w:tab w:val="left" w:pos="2977"/>
          <w:tab w:val="left" w:pos="3119"/>
        </w:tabs>
        <w:spacing w:line="360" w:lineRule="auto"/>
        <w:jc w:val="center"/>
        <w:rPr>
          <w:rFonts w:hint="eastAsia" w:ascii="黑体" w:hAnsi="黑体" w:eastAsia="黑体" w:cs="黑体"/>
          <w:sz w:val="30"/>
          <w:szCs w:val="30"/>
        </w:rPr>
      </w:pPr>
      <w:r>
        <w:rPr>
          <w:rFonts w:hint="eastAsia" w:ascii="黑体" w:hAnsi="黑体" w:eastAsia="黑体" w:cs="黑体"/>
          <w:sz w:val="30"/>
          <w:szCs w:val="30"/>
        </w:rPr>
        <w:t>日    期：</w:t>
      </w:r>
      <w:r>
        <w:rPr>
          <w:rFonts w:hint="eastAsia" w:ascii="黑体" w:hAnsi="黑体" w:eastAsia="黑体" w:cs="黑体"/>
          <w:sz w:val="30"/>
          <w:szCs w:val="30"/>
          <w:u w:val="single"/>
        </w:rPr>
        <w:t xml:space="preserve">          </w:t>
      </w:r>
      <w:r>
        <w:rPr>
          <w:rFonts w:hint="eastAsia" w:ascii="黑体" w:hAnsi="黑体" w:eastAsia="黑体" w:cs="黑体"/>
          <w:sz w:val="30"/>
          <w:szCs w:val="30"/>
        </w:rPr>
        <w:t>年</w:t>
      </w:r>
      <w:r>
        <w:rPr>
          <w:rFonts w:hint="eastAsia" w:ascii="黑体" w:hAnsi="黑体" w:eastAsia="黑体" w:cs="黑体"/>
          <w:sz w:val="30"/>
          <w:szCs w:val="30"/>
          <w:u w:val="single"/>
        </w:rPr>
        <w:t xml:space="preserve">    </w:t>
      </w:r>
      <w:r>
        <w:rPr>
          <w:rFonts w:hint="eastAsia" w:ascii="黑体" w:hAnsi="黑体" w:eastAsia="黑体" w:cs="黑体"/>
          <w:sz w:val="30"/>
          <w:szCs w:val="30"/>
        </w:rPr>
        <w:t>月</w:t>
      </w:r>
      <w:r>
        <w:rPr>
          <w:rFonts w:hint="eastAsia" w:ascii="黑体" w:hAnsi="黑体" w:eastAsia="黑体" w:cs="黑体"/>
          <w:sz w:val="30"/>
          <w:szCs w:val="30"/>
          <w:u w:val="single"/>
        </w:rPr>
        <w:t xml:space="preserve">    </w:t>
      </w:r>
      <w:r>
        <w:rPr>
          <w:rFonts w:hint="eastAsia" w:ascii="黑体" w:hAnsi="黑体" w:eastAsia="黑体" w:cs="黑体"/>
          <w:sz w:val="30"/>
          <w:szCs w:val="30"/>
        </w:rPr>
        <w:t>日</w:t>
      </w:r>
    </w:p>
    <w:p w14:paraId="6B983A75">
      <w:pPr>
        <w:jc w:val="center"/>
        <w:rPr>
          <w:rFonts w:hint="eastAsia" w:ascii="黑体" w:hAnsi="黑体" w:eastAsia="黑体" w:cs="黑体"/>
          <w:sz w:val="28"/>
          <w:szCs w:val="28"/>
        </w:rPr>
      </w:pPr>
      <w:r>
        <w:rPr>
          <w:rFonts w:hint="eastAsia" w:ascii="黑体" w:hAnsi="黑体" w:eastAsia="黑体" w:cs="黑体"/>
        </w:rPr>
        <w:br w:type="page"/>
      </w:r>
      <w:bookmarkStart w:id="355" w:name="_Toc231106172"/>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录</w:t>
      </w:r>
    </w:p>
    <w:p w14:paraId="2ECBFB73">
      <w:pPr>
        <w:spacing w:line="360" w:lineRule="auto"/>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 xml:space="preserve"> </w:t>
      </w:r>
    </w:p>
    <w:p w14:paraId="3C3A8EA1">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一、</w:t>
      </w:r>
      <w:r>
        <w:rPr>
          <w:rFonts w:hint="eastAsia" w:ascii="黑体" w:hAnsi="黑体" w:eastAsia="黑体" w:cs="黑体"/>
          <w:sz w:val="24"/>
          <w:szCs w:val="24"/>
          <w:highlight w:val="none"/>
          <w:lang w:eastAsia="zh-CN"/>
        </w:rPr>
        <w:t>投标</w:t>
      </w:r>
      <w:r>
        <w:rPr>
          <w:rFonts w:hint="eastAsia" w:ascii="黑体" w:hAnsi="黑体" w:eastAsia="黑体" w:cs="黑体"/>
          <w:sz w:val="24"/>
          <w:szCs w:val="24"/>
          <w:highlight w:val="none"/>
        </w:rPr>
        <w:t>函及</w:t>
      </w:r>
      <w:r>
        <w:rPr>
          <w:rFonts w:hint="eastAsia" w:ascii="黑体" w:hAnsi="黑体" w:eastAsia="黑体" w:cs="黑体"/>
          <w:sz w:val="24"/>
          <w:szCs w:val="24"/>
          <w:highlight w:val="none"/>
          <w:lang w:eastAsia="zh-CN"/>
        </w:rPr>
        <w:t>投标</w:t>
      </w:r>
      <w:r>
        <w:rPr>
          <w:rFonts w:hint="eastAsia" w:ascii="黑体" w:hAnsi="黑体" w:eastAsia="黑体" w:cs="黑体"/>
          <w:sz w:val="24"/>
          <w:szCs w:val="24"/>
          <w:highlight w:val="none"/>
        </w:rPr>
        <w:t>函附录</w:t>
      </w:r>
    </w:p>
    <w:p w14:paraId="776B8FC6">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rPr>
        <w:t>二、法定代表人身份证明</w:t>
      </w:r>
    </w:p>
    <w:p w14:paraId="3B19DFA5">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三</w:t>
      </w:r>
      <w:r>
        <w:rPr>
          <w:rFonts w:hint="eastAsia" w:ascii="黑体" w:hAnsi="黑体" w:eastAsia="黑体" w:cs="黑体"/>
          <w:sz w:val="24"/>
          <w:szCs w:val="24"/>
          <w:highlight w:val="none"/>
        </w:rPr>
        <w:t>、授权委托书</w:t>
      </w:r>
    </w:p>
    <w:p w14:paraId="2984416A">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四</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报价明细表</w:t>
      </w:r>
    </w:p>
    <w:p w14:paraId="04A501F9">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五、商务条款偏离表</w:t>
      </w:r>
    </w:p>
    <w:p w14:paraId="62B81EE2">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lang w:val="en-US" w:eastAsia="zh-CN"/>
        </w:rPr>
      </w:pPr>
      <w:r>
        <w:rPr>
          <w:rFonts w:hint="eastAsia" w:ascii="黑体" w:hAnsi="黑体" w:eastAsia="黑体" w:cs="黑体"/>
          <w:sz w:val="24"/>
          <w:szCs w:val="24"/>
          <w:highlight w:val="none"/>
          <w:lang w:val="en-US" w:eastAsia="zh-CN"/>
        </w:rPr>
        <w:t>六、技术条款偏离表</w:t>
      </w:r>
    </w:p>
    <w:p w14:paraId="15BE1C37">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七、备品备件清单</w:t>
      </w:r>
    </w:p>
    <w:p w14:paraId="54FB9E97">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rPr>
      </w:pPr>
      <w:r>
        <w:rPr>
          <w:rFonts w:hint="eastAsia" w:ascii="黑体" w:hAnsi="黑体" w:eastAsia="黑体" w:cs="黑体"/>
          <w:sz w:val="24"/>
          <w:szCs w:val="24"/>
          <w:highlight w:val="none"/>
          <w:lang w:val="en-US" w:eastAsia="zh-CN"/>
        </w:rPr>
        <w:t>八、</w:t>
      </w:r>
      <w:r>
        <w:rPr>
          <w:rFonts w:hint="eastAsia" w:ascii="黑体" w:hAnsi="黑体" w:eastAsia="黑体" w:cs="黑体"/>
          <w:sz w:val="24"/>
          <w:szCs w:val="24"/>
          <w:highlight w:val="none"/>
        </w:rPr>
        <w:t>资格审查资料</w:t>
      </w:r>
    </w:p>
    <w:p w14:paraId="42A8A59A">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lang w:eastAsia="zh-CN"/>
        </w:rPr>
      </w:pPr>
      <w:r>
        <w:rPr>
          <w:rFonts w:hint="eastAsia" w:ascii="黑体" w:hAnsi="黑体" w:eastAsia="黑体" w:cs="黑体"/>
          <w:sz w:val="24"/>
          <w:szCs w:val="24"/>
          <w:highlight w:val="none"/>
          <w:lang w:val="en-US" w:eastAsia="zh-CN"/>
        </w:rPr>
        <w:t>九</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技术部分</w:t>
      </w:r>
    </w:p>
    <w:p w14:paraId="57E613AE">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十</w:t>
      </w:r>
      <w:r>
        <w:rPr>
          <w:rFonts w:hint="eastAsia" w:ascii="黑体" w:hAnsi="黑体" w:eastAsia="黑体" w:cs="黑体"/>
          <w:sz w:val="24"/>
          <w:szCs w:val="24"/>
          <w:highlight w:val="none"/>
        </w:rPr>
        <w:t>、</w:t>
      </w:r>
      <w:r>
        <w:rPr>
          <w:rFonts w:hint="eastAsia" w:ascii="黑体" w:hAnsi="黑体" w:eastAsia="黑体" w:cs="黑体"/>
          <w:sz w:val="24"/>
          <w:szCs w:val="24"/>
          <w:highlight w:val="none"/>
          <w:lang w:val="en-US" w:eastAsia="zh-CN"/>
        </w:rPr>
        <w:t xml:space="preserve">相关服务计划 </w:t>
      </w:r>
    </w:p>
    <w:p w14:paraId="0DC1033F">
      <w:pPr>
        <w:keepNext w:val="0"/>
        <w:keepLines w:val="0"/>
        <w:pageBreakBefore w:val="0"/>
        <w:widowControl w:val="0"/>
        <w:kinsoku/>
        <w:wordWrap/>
        <w:overflowPunct/>
        <w:topLinePunct w:val="0"/>
        <w:autoSpaceDE/>
        <w:autoSpaceDN/>
        <w:bidi w:val="0"/>
        <w:adjustRightInd/>
        <w:snapToGrid/>
        <w:spacing w:line="720" w:lineRule="auto"/>
        <w:ind w:left="0" w:firstLine="1680" w:firstLineChars="700"/>
        <w:jc w:val="left"/>
        <w:textAlignment w:val="auto"/>
        <w:rPr>
          <w:rFonts w:hint="eastAsia" w:ascii="黑体" w:hAnsi="黑体" w:eastAsia="黑体" w:cs="黑体"/>
          <w:sz w:val="24"/>
          <w:szCs w:val="24"/>
          <w:highlight w:val="none"/>
          <w:lang w:val="en-US" w:eastAsia="zh-CN"/>
        </w:rPr>
      </w:pPr>
      <w:r>
        <w:rPr>
          <w:rFonts w:hint="eastAsia" w:ascii="黑体" w:hAnsi="黑体" w:eastAsia="黑体" w:cs="黑体"/>
          <w:sz w:val="24"/>
          <w:szCs w:val="24"/>
          <w:highlight w:val="none"/>
          <w:lang w:val="en-US" w:eastAsia="zh-CN"/>
        </w:rPr>
        <w:t>十一、其他资料</w:t>
      </w:r>
    </w:p>
    <w:p w14:paraId="35EAD709">
      <w:pPr>
        <w:spacing w:line="360" w:lineRule="auto"/>
        <w:ind w:firstLine="840" w:firstLineChars="300"/>
        <w:jc w:val="center"/>
        <w:rPr>
          <w:rFonts w:hint="eastAsia" w:ascii="黑体" w:hAnsi="黑体" w:eastAsia="黑体" w:cs="黑体"/>
          <w:b/>
          <w:bCs/>
          <w:sz w:val="24"/>
          <w:szCs w:val="24"/>
        </w:rPr>
      </w:pPr>
      <w:r>
        <w:rPr>
          <w:rFonts w:hint="eastAsia" w:ascii="黑体" w:hAnsi="黑体" w:eastAsia="黑体" w:cs="黑体"/>
          <w:sz w:val="28"/>
          <w:szCs w:val="28"/>
        </w:rPr>
        <w:br w:type="page"/>
      </w:r>
      <w:r>
        <w:rPr>
          <w:rFonts w:hint="eastAsia" w:ascii="黑体" w:hAnsi="黑体" w:eastAsia="黑体" w:cs="黑体"/>
          <w:b/>
          <w:bCs/>
          <w:sz w:val="36"/>
          <w:szCs w:val="36"/>
          <w:lang w:eastAsia="zh-CN"/>
        </w:rPr>
        <w:t>投标</w:t>
      </w:r>
      <w:r>
        <w:rPr>
          <w:rFonts w:hint="eastAsia" w:ascii="黑体" w:hAnsi="黑体" w:eastAsia="黑体" w:cs="黑体"/>
          <w:b/>
          <w:bCs/>
          <w:sz w:val="36"/>
          <w:szCs w:val="36"/>
        </w:rPr>
        <w:t>承诺书</w:t>
      </w:r>
    </w:p>
    <w:p w14:paraId="74E79CF2">
      <w:pPr>
        <w:jc w:val="center"/>
        <w:rPr>
          <w:rFonts w:hint="eastAsia" w:ascii="黑体" w:hAnsi="黑体" w:eastAsia="黑体" w:cs="黑体"/>
          <w:b/>
          <w:bCs/>
          <w:sz w:val="36"/>
          <w:szCs w:val="36"/>
        </w:rPr>
      </w:pPr>
    </w:p>
    <w:p w14:paraId="0BC4CDE7">
      <w:pPr>
        <w:widowControl/>
        <w:spacing w:line="360" w:lineRule="auto"/>
        <w:rPr>
          <w:rFonts w:hint="eastAsia" w:ascii="黑体" w:hAnsi="黑体" w:eastAsia="黑体" w:cs="黑体"/>
          <w:color w:val="000000"/>
          <w:sz w:val="24"/>
        </w:rPr>
      </w:pPr>
      <w:r>
        <w:rPr>
          <w:rFonts w:hint="eastAsia" w:ascii="黑体" w:hAnsi="黑体" w:eastAsia="黑体" w:cs="黑体"/>
          <w:color w:val="000000"/>
          <w:sz w:val="24"/>
          <w:u w:val="single"/>
          <w:lang w:eastAsia="zh-CN"/>
        </w:rPr>
        <w:t>（采购</w:t>
      </w:r>
      <w:r>
        <w:rPr>
          <w:rFonts w:hint="eastAsia" w:ascii="黑体" w:hAnsi="黑体" w:eastAsia="黑体" w:cs="黑体"/>
          <w:color w:val="000000"/>
          <w:sz w:val="24"/>
          <w:u w:val="single"/>
        </w:rPr>
        <w:t>人</w:t>
      </w:r>
      <w:r>
        <w:rPr>
          <w:rFonts w:hint="eastAsia" w:ascii="黑体" w:hAnsi="黑体" w:eastAsia="黑体" w:cs="黑体"/>
          <w:color w:val="000000"/>
          <w:sz w:val="24"/>
          <w:u w:val="single"/>
          <w:lang w:eastAsia="zh-CN"/>
        </w:rPr>
        <w:t>、采购</w:t>
      </w:r>
      <w:r>
        <w:rPr>
          <w:rFonts w:hint="eastAsia" w:ascii="黑体" w:hAnsi="黑体" w:eastAsia="黑体" w:cs="黑体"/>
          <w:color w:val="000000"/>
          <w:sz w:val="24"/>
          <w:u w:val="single"/>
        </w:rPr>
        <w:t>代理机构</w:t>
      </w:r>
      <w:r>
        <w:rPr>
          <w:rFonts w:hint="eastAsia" w:ascii="黑体" w:hAnsi="黑体" w:eastAsia="黑体" w:cs="黑体"/>
          <w:color w:val="000000"/>
          <w:sz w:val="24"/>
          <w:u w:val="single"/>
          <w:lang w:eastAsia="zh-CN"/>
        </w:rPr>
        <w:t>）</w:t>
      </w:r>
      <w:r>
        <w:rPr>
          <w:rFonts w:hint="eastAsia" w:ascii="黑体" w:hAnsi="黑体" w:eastAsia="黑体" w:cs="黑体"/>
          <w:color w:val="000000"/>
          <w:sz w:val="24"/>
        </w:rPr>
        <w:t>：</w:t>
      </w:r>
    </w:p>
    <w:p w14:paraId="377C8F60">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为了保护国家利益、社会公共利益和当事人的合法权益，打造“公平、公正、公开”的交易市场，我（单位）在</w:t>
      </w:r>
      <w:r>
        <w:rPr>
          <w:rFonts w:hint="eastAsia" w:ascii="黑体" w:hAnsi="黑体" w:eastAsia="黑体" w:cs="黑体"/>
          <w:color w:val="000000"/>
          <w:sz w:val="24"/>
          <w:u w:val="single"/>
        </w:rPr>
        <w:t xml:space="preserve">                       </w:t>
      </w:r>
      <w:r>
        <w:rPr>
          <w:rFonts w:hint="eastAsia" w:ascii="黑体" w:hAnsi="黑体" w:eastAsia="黑体" w:cs="黑体"/>
          <w:color w:val="000000"/>
          <w:sz w:val="24"/>
        </w:rPr>
        <w:t xml:space="preserve">招投标(政府采购、有偿出让)活动中承诺如下事项： </w:t>
      </w:r>
    </w:p>
    <w:p w14:paraId="08816248">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 xml:space="preserve">一、严格执行政府采购等各项法律、规章、制度、操作规程和办事程序，主动接受相关部门和社会公众的监督。 </w:t>
      </w:r>
    </w:p>
    <w:p w14:paraId="2015FDBC">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二、不与</w:t>
      </w:r>
      <w:r>
        <w:rPr>
          <w:rFonts w:hint="eastAsia" w:ascii="黑体" w:hAnsi="黑体" w:eastAsia="黑体" w:cs="黑体"/>
          <w:color w:val="000000"/>
          <w:sz w:val="24"/>
          <w:lang w:eastAsia="zh-CN"/>
        </w:rPr>
        <w:t>采购人</w:t>
      </w:r>
      <w:r>
        <w:rPr>
          <w:rFonts w:hint="eastAsia" w:ascii="黑体" w:hAnsi="黑体" w:eastAsia="黑体" w:cs="黑体"/>
          <w:color w:val="000000"/>
          <w:sz w:val="24"/>
        </w:rPr>
        <w:t>串通投标；不与其他</w:t>
      </w:r>
      <w:r>
        <w:rPr>
          <w:rFonts w:hint="eastAsia" w:ascii="黑体" w:hAnsi="黑体" w:eastAsia="黑体" w:cs="黑体"/>
          <w:color w:val="000000"/>
          <w:sz w:val="24"/>
          <w:lang w:eastAsia="zh-CN"/>
        </w:rPr>
        <w:t>供应商</w:t>
      </w:r>
      <w:r>
        <w:rPr>
          <w:rFonts w:hint="eastAsia" w:ascii="黑体" w:hAnsi="黑体" w:eastAsia="黑体" w:cs="黑体"/>
          <w:color w:val="000000"/>
          <w:sz w:val="24"/>
        </w:rPr>
        <w:t>相互串通报价，不排挤其他</w:t>
      </w:r>
      <w:r>
        <w:rPr>
          <w:rFonts w:hint="eastAsia" w:ascii="黑体" w:hAnsi="黑体" w:eastAsia="黑体" w:cs="黑体"/>
          <w:color w:val="000000"/>
          <w:sz w:val="24"/>
          <w:lang w:eastAsia="zh-CN"/>
        </w:rPr>
        <w:t>供应商</w:t>
      </w:r>
      <w:r>
        <w:rPr>
          <w:rFonts w:hint="eastAsia" w:ascii="黑体" w:hAnsi="黑体" w:eastAsia="黑体" w:cs="黑体"/>
          <w:color w:val="000000"/>
          <w:sz w:val="24"/>
        </w:rPr>
        <w:t>的公平竞争。</w:t>
      </w:r>
    </w:p>
    <w:p w14:paraId="6C2110B4">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三、不向采购代理机构、评委和</w:t>
      </w:r>
      <w:r>
        <w:rPr>
          <w:rFonts w:hint="eastAsia" w:ascii="黑体" w:hAnsi="黑体" w:eastAsia="黑体" w:cs="黑体"/>
          <w:color w:val="000000"/>
          <w:sz w:val="24"/>
          <w:lang w:val="en-US" w:eastAsia="zh-CN"/>
        </w:rPr>
        <w:t>采购</w:t>
      </w:r>
      <w:r>
        <w:rPr>
          <w:rFonts w:hint="eastAsia" w:ascii="黑体" w:hAnsi="黑体" w:eastAsia="黑体" w:cs="黑体"/>
          <w:color w:val="000000"/>
          <w:sz w:val="24"/>
        </w:rPr>
        <w:t>单位人员进行任何形式的商业贿赂以谋取交易机会。</w:t>
      </w:r>
    </w:p>
    <w:p w14:paraId="68A4EA8B">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四、不以低于成本的报价投标，也不以其他名义投标或者以其他方式弄虚作假，骗取成交。</w:t>
      </w:r>
    </w:p>
    <w:p w14:paraId="5F96D724">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五、</w:t>
      </w:r>
      <w:r>
        <w:rPr>
          <w:rFonts w:hint="eastAsia" w:ascii="黑体" w:hAnsi="黑体" w:eastAsia="黑体" w:cs="黑体"/>
          <w:color w:val="000000"/>
          <w:sz w:val="24"/>
          <w:lang w:eastAsia="zh-CN"/>
        </w:rPr>
        <w:t>中标</w:t>
      </w:r>
      <w:r>
        <w:rPr>
          <w:rFonts w:hint="eastAsia" w:ascii="黑体" w:hAnsi="黑体" w:eastAsia="黑体" w:cs="黑体"/>
          <w:color w:val="000000"/>
          <w:sz w:val="24"/>
        </w:rPr>
        <w:t>后无正当理由，不得拒绝签订合同，不得擅自改变竞</w:t>
      </w:r>
      <w:r>
        <w:rPr>
          <w:rFonts w:hint="eastAsia" w:ascii="黑体" w:hAnsi="黑体" w:eastAsia="黑体" w:cs="黑体"/>
          <w:color w:val="000000"/>
          <w:sz w:val="24"/>
          <w:lang w:eastAsia="zh-CN"/>
        </w:rPr>
        <w:t>采购文件</w:t>
      </w:r>
      <w:r>
        <w:rPr>
          <w:rFonts w:hint="eastAsia" w:ascii="黑体" w:hAnsi="黑体" w:eastAsia="黑体" w:cs="黑体"/>
          <w:color w:val="000000"/>
          <w:sz w:val="24"/>
        </w:rPr>
        <w:t>内容签订合同，不拒绝履行合同。</w:t>
      </w:r>
    </w:p>
    <w:p w14:paraId="42992CE1">
      <w:pPr>
        <w:widowControl/>
        <w:spacing w:line="360" w:lineRule="auto"/>
        <w:ind w:firstLine="480"/>
        <w:rPr>
          <w:rFonts w:hint="eastAsia" w:ascii="黑体" w:hAnsi="黑体" w:eastAsia="黑体" w:cs="黑体"/>
          <w:color w:val="000000"/>
          <w:sz w:val="24"/>
        </w:rPr>
      </w:pPr>
      <w:r>
        <w:rPr>
          <w:rFonts w:hint="eastAsia" w:ascii="黑体" w:hAnsi="黑体" w:eastAsia="黑体" w:cs="黑体"/>
          <w:color w:val="000000"/>
          <w:sz w:val="24"/>
        </w:rPr>
        <w:t xml:space="preserve">六、若违反上述承诺，按照国家法律、法规的规定接受处罚。 </w:t>
      </w:r>
    </w:p>
    <w:p w14:paraId="03287F79">
      <w:pPr>
        <w:widowControl/>
        <w:spacing w:line="360" w:lineRule="auto"/>
        <w:ind w:firstLine="2760"/>
        <w:rPr>
          <w:rFonts w:hint="eastAsia" w:ascii="黑体" w:hAnsi="黑体" w:eastAsia="黑体" w:cs="黑体"/>
          <w:color w:val="000000"/>
          <w:sz w:val="24"/>
        </w:rPr>
      </w:pPr>
    </w:p>
    <w:p w14:paraId="01CE9AB1">
      <w:pPr>
        <w:widowControl/>
        <w:spacing w:line="360" w:lineRule="auto"/>
        <w:ind w:firstLine="6120"/>
        <w:rPr>
          <w:rFonts w:hint="eastAsia" w:ascii="黑体" w:hAnsi="黑体" w:eastAsia="黑体" w:cs="黑体"/>
          <w:color w:val="000000"/>
          <w:sz w:val="24"/>
        </w:rPr>
      </w:pPr>
    </w:p>
    <w:p w14:paraId="467BC6E4">
      <w:pPr>
        <w:widowControl/>
        <w:spacing w:line="360" w:lineRule="auto"/>
        <w:ind w:firstLine="6120"/>
        <w:rPr>
          <w:rFonts w:hint="eastAsia" w:ascii="黑体" w:hAnsi="黑体" w:eastAsia="黑体" w:cs="黑体"/>
          <w:color w:val="000000"/>
          <w:sz w:val="24"/>
        </w:rPr>
      </w:pPr>
    </w:p>
    <w:p w14:paraId="0387BAE0">
      <w:pPr>
        <w:widowControl/>
        <w:spacing w:line="360" w:lineRule="auto"/>
        <w:ind w:firstLine="6120"/>
        <w:jc w:val="right"/>
        <w:rPr>
          <w:rFonts w:hint="eastAsia" w:ascii="黑体" w:hAnsi="黑体" w:eastAsia="黑体" w:cs="黑体"/>
          <w:color w:val="000000"/>
          <w:sz w:val="24"/>
        </w:rPr>
      </w:pPr>
    </w:p>
    <w:p w14:paraId="6C5F8CBA">
      <w:pPr>
        <w:widowControl/>
        <w:wordWrap w:val="0"/>
        <w:spacing w:line="360" w:lineRule="auto"/>
        <w:ind w:firstLine="1680" w:firstLineChars="700"/>
        <w:jc w:val="right"/>
        <w:rPr>
          <w:rFonts w:hint="eastAsia" w:ascii="黑体" w:hAnsi="黑体" w:eastAsia="黑体" w:cs="黑体"/>
          <w:color w:val="000000"/>
          <w:sz w:val="24"/>
        </w:rPr>
      </w:pPr>
      <w:r>
        <w:rPr>
          <w:rFonts w:hint="eastAsia" w:ascii="黑体" w:hAnsi="黑体" w:eastAsia="黑体" w:cs="黑体"/>
          <w:color w:val="000000"/>
          <w:sz w:val="24"/>
          <w:lang w:eastAsia="zh-CN"/>
        </w:rPr>
        <w:t>供应商</w:t>
      </w:r>
      <w:r>
        <w:rPr>
          <w:rFonts w:hint="eastAsia" w:ascii="黑体" w:hAnsi="黑体" w:eastAsia="黑体" w:cs="黑体"/>
          <w:color w:val="000000"/>
          <w:sz w:val="24"/>
        </w:rPr>
        <w:t>：</w:t>
      </w:r>
      <w:r>
        <w:rPr>
          <w:rFonts w:hint="eastAsia" w:ascii="黑体" w:hAnsi="黑体" w:eastAsia="黑体" w:cs="黑体"/>
          <w:color w:val="000000"/>
          <w:sz w:val="24"/>
          <w:u w:val="single"/>
        </w:rPr>
        <w:t xml:space="preserve">    </w:t>
      </w:r>
      <w:r>
        <w:rPr>
          <w:rFonts w:hint="eastAsia" w:ascii="黑体" w:hAnsi="黑体" w:eastAsia="黑体" w:cs="黑体"/>
          <w:color w:val="000000"/>
          <w:sz w:val="24"/>
          <w:u w:val="single"/>
          <w:lang w:val="en-US" w:eastAsia="zh-CN"/>
        </w:rPr>
        <w:t xml:space="preserve">                    </w:t>
      </w:r>
      <w:r>
        <w:rPr>
          <w:rFonts w:hint="eastAsia" w:ascii="黑体" w:hAnsi="黑体" w:eastAsia="黑体" w:cs="黑体"/>
          <w:color w:val="000000"/>
          <w:sz w:val="24"/>
          <w:u w:val="single"/>
        </w:rPr>
        <w:t xml:space="preserve"> </w:t>
      </w:r>
      <w:r>
        <w:rPr>
          <w:rFonts w:hint="eastAsia" w:ascii="黑体" w:hAnsi="黑体" w:eastAsia="黑体" w:cs="黑体"/>
          <w:color w:val="000000"/>
          <w:sz w:val="24"/>
        </w:rPr>
        <w:t>（盖单位章）</w:t>
      </w:r>
    </w:p>
    <w:p w14:paraId="01E180A2">
      <w:pPr>
        <w:widowControl/>
        <w:spacing w:line="360" w:lineRule="auto"/>
        <w:ind w:firstLine="5880"/>
        <w:jc w:val="right"/>
        <w:rPr>
          <w:rFonts w:hint="eastAsia" w:ascii="黑体" w:hAnsi="黑体" w:eastAsia="黑体" w:cs="黑体"/>
          <w:color w:val="000000"/>
          <w:sz w:val="24"/>
        </w:rPr>
      </w:pPr>
    </w:p>
    <w:p w14:paraId="62A31B36">
      <w:pPr>
        <w:topLinePunct/>
        <w:spacing w:line="360" w:lineRule="auto"/>
        <w:ind w:firstLine="1680" w:firstLineChars="700"/>
        <w:jc w:val="right"/>
        <w:rPr>
          <w:rFonts w:hint="eastAsia" w:ascii="黑体" w:hAnsi="黑体" w:eastAsia="黑体" w:cs="黑体"/>
          <w:color w:val="000000"/>
          <w:sz w:val="24"/>
        </w:rPr>
      </w:pPr>
      <w:r>
        <w:rPr>
          <w:rFonts w:hint="eastAsia" w:ascii="黑体" w:hAnsi="黑体" w:eastAsia="黑体" w:cs="黑体"/>
          <w:color w:val="000000"/>
          <w:sz w:val="24"/>
        </w:rPr>
        <w:t>法定代表人：</w:t>
      </w:r>
      <w:r>
        <w:rPr>
          <w:rFonts w:hint="eastAsia" w:ascii="黑体" w:hAnsi="黑体" w:eastAsia="黑体" w:cs="黑体"/>
          <w:color w:val="000000"/>
          <w:sz w:val="24"/>
          <w:u w:val="single"/>
        </w:rPr>
        <w:t xml:space="preserve">  </w:t>
      </w:r>
      <w:r>
        <w:rPr>
          <w:rFonts w:hint="eastAsia" w:ascii="黑体" w:hAnsi="黑体" w:eastAsia="黑体" w:cs="黑体"/>
          <w:color w:val="000000"/>
          <w:sz w:val="24"/>
          <w:u w:val="single"/>
          <w:lang w:val="en-US" w:eastAsia="zh-CN"/>
        </w:rPr>
        <w:t xml:space="preserve">                </w:t>
      </w:r>
      <w:r>
        <w:rPr>
          <w:rFonts w:hint="eastAsia" w:ascii="黑体" w:hAnsi="黑体" w:eastAsia="黑体" w:cs="黑体"/>
          <w:color w:val="000000"/>
          <w:sz w:val="24"/>
          <w:u w:val="single"/>
        </w:rPr>
        <w:t xml:space="preserve">   </w:t>
      </w:r>
      <w:r>
        <w:rPr>
          <w:rFonts w:hint="eastAsia" w:ascii="黑体" w:hAnsi="黑体" w:eastAsia="黑体" w:cs="黑体"/>
          <w:color w:val="000000"/>
          <w:sz w:val="24"/>
        </w:rPr>
        <w:t>（签字</w:t>
      </w:r>
      <w:r>
        <w:rPr>
          <w:rFonts w:hint="eastAsia" w:ascii="黑体" w:hAnsi="黑体" w:eastAsia="黑体" w:cs="黑体"/>
          <w:color w:val="000000"/>
          <w:sz w:val="24"/>
          <w:lang w:eastAsia="zh-CN"/>
        </w:rPr>
        <w:t>或盖章</w:t>
      </w:r>
      <w:r>
        <w:rPr>
          <w:rFonts w:hint="eastAsia" w:ascii="黑体" w:hAnsi="黑体" w:eastAsia="黑体" w:cs="黑体"/>
          <w:color w:val="000000"/>
          <w:sz w:val="24"/>
        </w:rPr>
        <w:t>）</w:t>
      </w:r>
    </w:p>
    <w:p w14:paraId="48BDE528">
      <w:pPr>
        <w:pStyle w:val="2"/>
        <w:rPr>
          <w:rFonts w:hint="eastAsia" w:ascii="黑体" w:hAnsi="黑体" w:eastAsia="黑体" w:cs="黑体"/>
          <w:color w:val="000000"/>
          <w:sz w:val="24"/>
        </w:rPr>
      </w:pPr>
    </w:p>
    <w:p w14:paraId="1EFCDE5F">
      <w:pPr>
        <w:pStyle w:val="2"/>
        <w:rPr>
          <w:rFonts w:hint="eastAsia" w:ascii="黑体" w:hAnsi="黑体" w:eastAsia="黑体" w:cs="黑体"/>
          <w:color w:val="000000"/>
          <w:sz w:val="24"/>
        </w:rPr>
      </w:pPr>
    </w:p>
    <w:p w14:paraId="3D43301D">
      <w:pPr>
        <w:pStyle w:val="2"/>
        <w:rPr>
          <w:rFonts w:hint="eastAsia" w:ascii="黑体" w:hAnsi="黑体" w:eastAsia="黑体" w:cs="黑体"/>
          <w:color w:val="000000"/>
          <w:sz w:val="24"/>
        </w:rPr>
      </w:pPr>
    </w:p>
    <w:p w14:paraId="4AD7A08F">
      <w:pPr>
        <w:widowControl/>
        <w:spacing w:line="360" w:lineRule="auto"/>
        <w:ind w:firstLine="420"/>
        <w:jc w:val="center"/>
        <w:rPr>
          <w:rFonts w:hint="eastAsia" w:ascii="黑体" w:hAnsi="黑体" w:eastAsia="黑体" w:cs="黑体"/>
          <w:b/>
          <w:bCs/>
          <w:color w:val="000000"/>
          <w:sz w:val="36"/>
          <w:szCs w:val="36"/>
          <w:lang w:val="en-US" w:eastAsia="zh-CN"/>
        </w:rPr>
      </w:pPr>
    </w:p>
    <w:p w14:paraId="6AF34C4F">
      <w:pPr>
        <w:widowControl/>
        <w:spacing w:line="360" w:lineRule="auto"/>
        <w:ind w:firstLine="420"/>
        <w:jc w:val="center"/>
        <w:rPr>
          <w:rFonts w:hint="eastAsia" w:ascii="黑体" w:hAnsi="黑体" w:eastAsia="黑体" w:cs="黑体"/>
          <w:b/>
          <w:bCs/>
          <w:color w:val="000000"/>
          <w:sz w:val="36"/>
          <w:szCs w:val="36"/>
          <w:lang w:val="en-US" w:eastAsia="zh-CN"/>
        </w:rPr>
      </w:pPr>
    </w:p>
    <w:p w14:paraId="064F5B91">
      <w:pPr>
        <w:widowControl/>
        <w:spacing w:line="360" w:lineRule="auto"/>
        <w:ind w:firstLine="420"/>
        <w:jc w:val="center"/>
        <w:rPr>
          <w:rFonts w:hint="eastAsia" w:ascii="黑体" w:hAnsi="黑体" w:eastAsia="黑体" w:cs="黑体"/>
          <w:b/>
          <w:bCs/>
          <w:color w:val="000000"/>
          <w:sz w:val="36"/>
          <w:szCs w:val="36"/>
          <w:lang w:val="en-US" w:eastAsia="zh-CN"/>
        </w:rPr>
      </w:pPr>
    </w:p>
    <w:p w14:paraId="20547B85">
      <w:pPr>
        <w:widowControl/>
        <w:spacing w:line="360" w:lineRule="auto"/>
        <w:ind w:firstLine="420"/>
        <w:jc w:val="center"/>
        <w:rPr>
          <w:rFonts w:hint="eastAsia" w:ascii="黑体" w:hAnsi="黑体" w:eastAsia="黑体" w:cs="黑体"/>
          <w:b/>
          <w:bCs/>
          <w:color w:val="000000"/>
          <w:sz w:val="36"/>
          <w:szCs w:val="36"/>
        </w:rPr>
      </w:pPr>
      <w:r>
        <w:rPr>
          <w:rFonts w:hint="eastAsia" w:ascii="黑体" w:hAnsi="黑体" w:eastAsia="黑体" w:cs="黑体"/>
          <w:b/>
          <w:bCs/>
          <w:color w:val="000000"/>
          <w:sz w:val="36"/>
          <w:szCs w:val="36"/>
          <w:lang w:val="en-US" w:eastAsia="zh-CN"/>
        </w:rPr>
        <w:t>一、</w:t>
      </w:r>
      <w:r>
        <w:rPr>
          <w:rFonts w:hint="eastAsia" w:ascii="黑体" w:hAnsi="黑体" w:eastAsia="黑体" w:cs="黑体"/>
          <w:b/>
          <w:bCs/>
          <w:color w:val="000000"/>
          <w:sz w:val="36"/>
          <w:szCs w:val="36"/>
          <w:lang w:eastAsia="zh-CN"/>
        </w:rPr>
        <w:t>投标</w:t>
      </w:r>
      <w:r>
        <w:rPr>
          <w:rFonts w:hint="eastAsia" w:ascii="黑体" w:hAnsi="黑体" w:eastAsia="黑体" w:cs="黑体"/>
          <w:b/>
          <w:bCs/>
          <w:color w:val="000000"/>
          <w:sz w:val="36"/>
          <w:szCs w:val="36"/>
        </w:rPr>
        <w:t>函</w:t>
      </w:r>
    </w:p>
    <w:p w14:paraId="365188EF">
      <w:pPr>
        <w:widowControl/>
        <w:spacing w:line="480" w:lineRule="auto"/>
        <w:jc w:val="center"/>
        <w:rPr>
          <w:rFonts w:hint="eastAsia"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（一）</w:t>
      </w:r>
      <w:r>
        <w:rPr>
          <w:rFonts w:hint="eastAsia" w:ascii="黑体" w:hAnsi="黑体" w:eastAsia="黑体" w:cs="黑体"/>
          <w:b/>
          <w:bCs/>
          <w:color w:val="000000"/>
          <w:sz w:val="28"/>
          <w:szCs w:val="28"/>
          <w:lang w:eastAsia="zh-CN"/>
        </w:rPr>
        <w:t>投标</w:t>
      </w:r>
      <w:r>
        <w:rPr>
          <w:rFonts w:hint="eastAsia" w:ascii="黑体" w:hAnsi="黑体" w:eastAsia="黑体" w:cs="黑体"/>
          <w:b/>
          <w:bCs/>
          <w:color w:val="000000"/>
          <w:sz w:val="28"/>
          <w:szCs w:val="28"/>
        </w:rPr>
        <w:t>函</w:t>
      </w:r>
    </w:p>
    <w:p w14:paraId="4EADD4C9">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1、根据你方的</w:t>
      </w:r>
      <w:r>
        <w:rPr>
          <w:rFonts w:hint="eastAsia" w:ascii="黑体" w:hAnsi="黑体" w:eastAsia="黑体" w:cs="黑体"/>
          <w:sz w:val="24"/>
          <w:szCs w:val="24"/>
          <w:lang w:eastAsia="zh-CN"/>
        </w:rPr>
        <w:t>采购文件</w:t>
      </w:r>
      <w:r>
        <w:rPr>
          <w:rFonts w:hint="eastAsia" w:ascii="黑体" w:hAnsi="黑体" w:eastAsia="黑体" w:cs="黑体"/>
          <w:sz w:val="24"/>
          <w:szCs w:val="24"/>
        </w:rPr>
        <w:t>，经详细研究，我方决定以总报价为</w:t>
      </w:r>
      <w:r>
        <w:rPr>
          <w:rFonts w:hint="eastAsia" w:ascii="黑体" w:hAnsi="黑体" w:eastAsia="黑体" w:cs="黑体"/>
          <w:b/>
          <w:sz w:val="24"/>
          <w:szCs w:val="24"/>
          <w:lang w:eastAsia="zh-CN"/>
        </w:rPr>
        <w:t>（小</w:t>
      </w:r>
      <w:r>
        <w:rPr>
          <w:rFonts w:hint="eastAsia" w:ascii="黑体" w:hAnsi="黑体" w:eastAsia="黑体" w:cs="黑体"/>
          <w:b/>
          <w:sz w:val="24"/>
          <w:szCs w:val="24"/>
        </w:rPr>
        <w:t>写）</w:t>
      </w:r>
      <w:r>
        <w:rPr>
          <w:rFonts w:hint="eastAsia" w:ascii="黑体" w:hAnsi="黑体" w:eastAsia="黑体" w:cs="黑体"/>
          <w:b/>
          <w:sz w:val="24"/>
          <w:szCs w:val="24"/>
          <w:lang w:eastAsia="zh-CN"/>
        </w:rPr>
        <w:t>：</w:t>
      </w:r>
      <w:r>
        <w:rPr>
          <w:rFonts w:hint="eastAsia" w:ascii="黑体" w:hAnsi="黑体" w:eastAsia="黑体" w:cs="黑体"/>
          <w:b/>
          <w:sz w:val="24"/>
          <w:szCs w:val="24"/>
          <w:u w:val="single"/>
          <w:lang w:val="en-US" w:eastAsia="zh-CN"/>
        </w:rPr>
        <w:t xml:space="preserve">        </w:t>
      </w:r>
      <w:r>
        <w:rPr>
          <w:rFonts w:hint="eastAsia" w:ascii="黑体" w:hAnsi="黑体" w:eastAsia="黑体" w:cs="黑体"/>
          <w:b/>
          <w:sz w:val="24"/>
          <w:szCs w:val="24"/>
          <w:lang w:eastAsia="zh-CN"/>
        </w:rPr>
        <w:t>元</w:t>
      </w:r>
      <w:r>
        <w:rPr>
          <w:rFonts w:hint="eastAsia" w:ascii="黑体" w:hAnsi="黑体" w:eastAsia="黑体" w:cs="黑体"/>
          <w:b/>
          <w:sz w:val="24"/>
          <w:szCs w:val="24"/>
          <w:lang w:val="en-US" w:eastAsia="zh-CN"/>
        </w:rPr>
        <w:t>，</w:t>
      </w:r>
      <w:r>
        <w:rPr>
          <w:rFonts w:hint="eastAsia" w:ascii="黑体" w:hAnsi="黑体" w:eastAsia="黑体" w:cs="黑体"/>
          <w:b/>
          <w:sz w:val="24"/>
          <w:szCs w:val="24"/>
          <w:u w:val="single"/>
        </w:rPr>
        <w:t xml:space="preserve">        （</w:t>
      </w:r>
      <w:r>
        <w:rPr>
          <w:rFonts w:hint="eastAsia" w:ascii="黑体" w:hAnsi="黑体" w:eastAsia="黑体" w:cs="黑体"/>
          <w:b/>
          <w:sz w:val="24"/>
          <w:szCs w:val="24"/>
          <w:u w:val="single"/>
          <w:lang w:eastAsia="zh-CN"/>
        </w:rPr>
        <w:t>大</w:t>
      </w:r>
      <w:r>
        <w:rPr>
          <w:rFonts w:hint="eastAsia" w:ascii="黑体" w:hAnsi="黑体" w:eastAsia="黑体" w:cs="黑体"/>
          <w:b/>
          <w:sz w:val="24"/>
          <w:szCs w:val="24"/>
          <w:u w:val="single"/>
        </w:rPr>
        <w:t xml:space="preserve">写）：    </w:t>
      </w:r>
      <w:r>
        <w:rPr>
          <w:rFonts w:hint="eastAsia" w:ascii="黑体" w:hAnsi="黑体" w:eastAsia="黑体" w:cs="黑体"/>
          <w:b/>
          <w:sz w:val="24"/>
          <w:szCs w:val="24"/>
          <w:u w:val="none"/>
        </w:rPr>
        <w:t>元</w:t>
      </w:r>
      <w:r>
        <w:rPr>
          <w:rFonts w:hint="eastAsia" w:ascii="黑体" w:hAnsi="黑体" w:eastAsia="黑体" w:cs="黑体"/>
          <w:b/>
          <w:sz w:val="24"/>
          <w:szCs w:val="24"/>
          <w:u w:val="none"/>
          <w:lang w:eastAsia="zh-CN"/>
        </w:rPr>
        <w:t>的投标报价，供货及安装周期：</w:t>
      </w:r>
      <w:r>
        <w:rPr>
          <w:rFonts w:hint="eastAsia" w:ascii="黑体" w:hAnsi="黑体" w:eastAsia="黑体" w:cs="黑体"/>
          <w:b/>
          <w:sz w:val="24"/>
          <w:szCs w:val="24"/>
          <w:u w:val="single"/>
          <w:lang w:val="en-US" w:eastAsia="zh-CN"/>
        </w:rPr>
        <w:t xml:space="preserve">              </w:t>
      </w:r>
      <w:r>
        <w:rPr>
          <w:rFonts w:hint="eastAsia" w:ascii="黑体" w:hAnsi="黑体" w:eastAsia="黑体" w:cs="黑体"/>
          <w:b/>
          <w:sz w:val="24"/>
          <w:szCs w:val="24"/>
          <w:u w:val="none"/>
          <w:lang w:val="en-US" w:eastAsia="zh-CN"/>
        </w:rPr>
        <w:t>，质保期</w:t>
      </w:r>
      <w:r>
        <w:rPr>
          <w:rFonts w:hint="eastAsia" w:ascii="黑体" w:hAnsi="黑体" w:eastAsia="黑体" w:cs="黑体"/>
          <w:b/>
          <w:sz w:val="24"/>
          <w:szCs w:val="24"/>
          <w:u w:val="single"/>
          <w:lang w:val="en-US" w:eastAsia="zh-CN"/>
        </w:rPr>
        <w:t xml:space="preserve">              </w:t>
      </w:r>
      <w:r>
        <w:rPr>
          <w:rFonts w:hint="eastAsia" w:ascii="黑体" w:hAnsi="黑体" w:eastAsia="黑体" w:cs="黑体"/>
          <w:b/>
          <w:sz w:val="24"/>
          <w:szCs w:val="24"/>
          <w:u w:val="none"/>
          <w:lang w:val="en-US" w:eastAsia="zh-CN"/>
        </w:rPr>
        <w:t>，质量标准：</w:t>
      </w:r>
      <w:r>
        <w:rPr>
          <w:rFonts w:hint="eastAsia" w:ascii="黑体" w:hAnsi="黑体" w:eastAsia="黑体" w:cs="黑体"/>
          <w:b/>
          <w:sz w:val="24"/>
          <w:szCs w:val="24"/>
          <w:u w:val="single"/>
          <w:lang w:val="en-US" w:eastAsia="zh-CN"/>
        </w:rPr>
        <w:t xml:space="preserve">              </w:t>
      </w:r>
      <w:r>
        <w:rPr>
          <w:rFonts w:hint="eastAsia" w:ascii="黑体" w:hAnsi="黑体" w:eastAsia="黑体" w:cs="黑体"/>
          <w:b/>
          <w:sz w:val="24"/>
          <w:szCs w:val="24"/>
          <w:u w:val="none"/>
          <w:lang w:val="en-US" w:eastAsia="zh-CN"/>
        </w:rPr>
        <w:t>，交货地点：</w:t>
      </w:r>
      <w:r>
        <w:rPr>
          <w:rFonts w:hint="eastAsia" w:ascii="黑体" w:hAnsi="黑体" w:eastAsia="黑体" w:cs="黑体"/>
          <w:b/>
          <w:sz w:val="24"/>
          <w:szCs w:val="24"/>
          <w:u w:val="single"/>
          <w:lang w:val="en-US" w:eastAsia="zh-CN"/>
        </w:rPr>
        <w:t xml:space="preserve">              </w:t>
      </w:r>
      <w:r>
        <w:rPr>
          <w:rFonts w:hint="eastAsia" w:ascii="黑体" w:hAnsi="黑体" w:eastAsia="黑体" w:cs="黑体"/>
          <w:b/>
          <w:sz w:val="24"/>
          <w:szCs w:val="24"/>
          <w:u w:val="none"/>
          <w:lang w:val="en-US" w:eastAsia="zh-CN"/>
        </w:rPr>
        <w:t>，</w:t>
      </w:r>
      <w:r>
        <w:rPr>
          <w:rFonts w:hint="eastAsia" w:ascii="黑体" w:hAnsi="黑体" w:eastAsia="黑体" w:cs="黑体"/>
          <w:sz w:val="24"/>
          <w:szCs w:val="24"/>
        </w:rPr>
        <w:t>承担本项目</w:t>
      </w:r>
      <w:r>
        <w:rPr>
          <w:rFonts w:hint="eastAsia" w:ascii="黑体" w:hAnsi="黑体" w:eastAsia="黑体" w:cs="黑体"/>
          <w:sz w:val="24"/>
          <w:szCs w:val="24"/>
          <w:lang w:val="en-US" w:eastAsia="zh-CN"/>
        </w:rPr>
        <w:t>采购</w:t>
      </w:r>
      <w:r>
        <w:rPr>
          <w:rFonts w:hint="eastAsia" w:ascii="黑体" w:hAnsi="黑体" w:eastAsia="黑体" w:cs="黑体"/>
          <w:sz w:val="24"/>
          <w:szCs w:val="24"/>
        </w:rPr>
        <w:t>范围内的全部任务，并响应</w:t>
      </w:r>
      <w:r>
        <w:rPr>
          <w:rFonts w:hint="eastAsia" w:ascii="黑体" w:hAnsi="黑体" w:eastAsia="黑体" w:cs="黑体"/>
          <w:sz w:val="24"/>
          <w:szCs w:val="24"/>
          <w:lang w:eastAsia="zh-CN"/>
        </w:rPr>
        <w:t>采购文件</w:t>
      </w:r>
      <w:r>
        <w:rPr>
          <w:rFonts w:hint="eastAsia" w:ascii="黑体" w:hAnsi="黑体" w:eastAsia="黑体" w:cs="黑体"/>
          <w:sz w:val="24"/>
          <w:szCs w:val="24"/>
        </w:rPr>
        <w:t>的一切要求。</w:t>
      </w:r>
    </w:p>
    <w:p w14:paraId="6BF03483">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2、我方已准确领会了</w:t>
      </w:r>
      <w:r>
        <w:rPr>
          <w:rFonts w:hint="eastAsia" w:ascii="黑体" w:hAnsi="黑体" w:eastAsia="黑体" w:cs="黑体"/>
          <w:sz w:val="24"/>
          <w:szCs w:val="24"/>
          <w:lang w:eastAsia="zh-CN"/>
        </w:rPr>
        <w:t>采购文件</w:t>
      </w:r>
      <w:r>
        <w:rPr>
          <w:rFonts w:hint="eastAsia" w:ascii="黑体" w:hAnsi="黑体" w:eastAsia="黑体" w:cs="黑体"/>
          <w:sz w:val="24"/>
          <w:szCs w:val="24"/>
        </w:rPr>
        <w:t>的所有内容，包括修改文件及有关附件。</w:t>
      </w:r>
    </w:p>
    <w:p w14:paraId="016707FA">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3、如果我方成交，将按照</w:t>
      </w:r>
      <w:r>
        <w:rPr>
          <w:rFonts w:hint="eastAsia" w:ascii="黑体" w:hAnsi="黑体" w:eastAsia="黑体" w:cs="黑体"/>
          <w:sz w:val="24"/>
          <w:szCs w:val="24"/>
          <w:lang w:eastAsia="zh-CN"/>
        </w:rPr>
        <w:t>采购文件</w:t>
      </w:r>
      <w:r>
        <w:rPr>
          <w:rFonts w:hint="eastAsia" w:ascii="黑体" w:hAnsi="黑体" w:eastAsia="黑体" w:cs="黑体"/>
          <w:sz w:val="24"/>
          <w:szCs w:val="24"/>
        </w:rPr>
        <w:t>的规定与</w:t>
      </w:r>
      <w:r>
        <w:rPr>
          <w:rFonts w:hint="eastAsia" w:ascii="黑体" w:hAnsi="黑体" w:eastAsia="黑体" w:cs="黑体"/>
          <w:sz w:val="24"/>
          <w:szCs w:val="24"/>
          <w:lang w:eastAsia="zh-CN"/>
        </w:rPr>
        <w:t>采购人</w:t>
      </w:r>
      <w:r>
        <w:rPr>
          <w:rFonts w:hint="eastAsia" w:ascii="黑体" w:hAnsi="黑体" w:eastAsia="黑体" w:cs="黑体"/>
          <w:sz w:val="24"/>
          <w:szCs w:val="24"/>
        </w:rPr>
        <w:t>签订合同，并且严格履行合同义务，交货期我方保证按</w:t>
      </w:r>
      <w:r>
        <w:rPr>
          <w:rFonts w:hint="eastAsia" w:ascii="黑体" w:hAnsi="黑体" w:eastAsia="黑体" w:cs="黑体"/>
          <w:sz w:val="24"/>
          <w:szCs w:val="24"/>
          <w:lang w:eastAsia="zh-CN"/>
        </w:rPr>
        <w:t>采购人</w:t>
      </w:r>
      <w:r>
        <w:rPr>
          <w:rFonts w:hint="eastAsia" w:ascii="黑体" w:hAnsi="黑体" w:eastAsia="黑体" w:cs="黑体"/>
          <w:sz w:val="24"/>
          <w:szCs w:val="24"/>
        </w:rPr>
        <w:t>要求完成供货内容。在执行合同中，如因我方原因给贵方造成经济损失，我方承担相应的经济责任。</w:t>
      </w:r>
    </w:p>
    <w:p w14:paraId="12A20E8C">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4、我们同意按</w:t>
      </w:r>
      <w:r>
        <w:rPr>
          <w:rFonts w:hint="eastAsia" w:ascii="黑体" w:hAnsi="黑体" w:eastAsia="黑体" w:cs="黑体"/>
          <w:sz w:val="24"/>
          <w:szCs w:val="24"/>
          <w:lang w:eastAsia="zh-CN"/>
        </w:rPr>
        <w:t>采购文件</w:t>
      </w:r>
      <w:r>
        <w:rPr>
          <w:rFonts w:hint="eastAsia" w:ascii="黑体" w:hAnsi="黑体" w:eastAsia="黑体" w:cs="黑体"/>
          <w:sz w:val="24"/>
          <w:szCs w:val="24"/>
        </w:rPr>
        <w:t>的规定，提供</w:t>
      </w:r>
      <w:r>
        <w:rPr>
          <w:rFonts w:hint="eastAsia" w:ascii="黑体" w:hAnsi="黑体" w:eastAsia="黑体" w:cs="黑体"/>
          <w:sz w:val="24"/>
          <w:szCs w:val="24"/>
          <w:lang w:eastAsia="zh-CN"/>
        </w:rPr>
        <w:t>采购人</w:t>
      </w:r>
      <w:r>
        <w:rPr>
          <w:rFonts w:hint="eastAsia" w:ascii="黑体" w:hAnsi="黑体" w:eastAsia="黑体" w:cs="黑体"/>
          <w:sz w:val="24"/>
          <w:szCs w:val="24"/>
        </w:rPr>
        <w:t>要求的所有资料。</w:t>
      </w:r>
    </w:p>
    <w:p w14:paraId="04BB3F04">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5、我们完全理解你们不一定要接受最低报价的</w:t>
      </w:r>
      <w:r>
        <w:rPr>
          <w:rFonts w:hint="eastAsia" w:ascii="黑体" w:hAnsi="黑体" w:eastAsia="黑体" w:cs="黑体"/>
          <w:sz w:val="24"/>
          <w:szCs w:val="24"/>
          <w:lang w:val="en-US" w:eastAsia="zh-CN"/>
        </w:rPr>
        <w:t>供应商</w:t>
      </w:r>
      <w:r>
        <w:rPr>
          <w:rFonts w:hint="eastAsia" w:ascii="黑体" w:hAnsi="黑体" w:eastAsia="黑体" w:cs="黑体"/>
          <w:sz w:val="24"/>
          <w:szCs w:val="24"/>
        </w:rPr>
        <w:t>。</w:t>
      </w:r>
    </w:p>
    <w:p w14:paraId="687AA184">
      <w:pPr>
        <w:spacing w:line="360" w:lineRule="auto"/>
        <w:ind w:firstLine="480" w:firstLineChars="200"/>
        <w:rPr>
          <w:rFonts w:hint="eastAsia" w:ascii="黑体" w:hAnsi="黑体" w:eastAsia="黑体" w:cs="黑体"/>
          <w:sz w:val="24"/>
          <w:szCs w:val="24"/>
          <w:highlight w:val="none"/>
        </w:rPr>
      </w:pPr>
      <w:r>
        <w:rPr>
          <w:rFonts w:hint="eastAsia" w:ascii="黑体" w:hAnsi="黑体" w:eastAsia="黑体" w:cs="黑体"/>
          <w:sz w:val="24"/>
          <w:szCs w:val="24"/>
          <w:highlight w:val="none"/>
        </w:rPr>
        <w:t>6、我方愿按《中华人民共和国政府采购法》、《中华人民共和国</w:t>
      </w:r>
      <w:r>
        <w:rPr>
          <w:rFonts w:hint="eastAsia" w:ascii="黑体" w:hAnsi="黑体" w:eastAsia="黑体" w:cs="黑体"/>
          <w:sz w:val="24"/>
          <w:szCs w:val="24"/>
          <w:highlight w:val="none"/>
          <w:lang w:val="en-US" w:eastAsia="zh-CN"/>
        </w:rPr>
        <w:t>民法典</w:t>
      </w:r>
      <w:r>
        <w:rPr>
          <w:rFonts w:hint="eastAsia" w:ascii="黑体" w:hAnsi="黑体" w:eastAsia="黑体" w:cs="黑体"/>
          <w:sz w:val="24"/>
          <w:szCs w:val="24"/>
          <w:highlight w:val="none"/>
        </w:rPr>
        <w:t>》履行自己的全部责任。</w:t>
      </w:r>
    </w:p>
    <w:p w14:paraId="2FD2486F">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7</w:t>
      </w:r>
      <w:r>
        <w:rPr>
          <w:rFonts w:hint="eastAsia" w:ascii="黑体" w:hAnsi="黑体" w:eastAsia="黑体" w:cs="黑体"/>
          <w:sz w:val="24"/>
          <w:szCs w:val="24"/>
          <w:lang w:eastAsia="zh-CN"/>
        </w:rPr>
        <w:t>、</w:t>
      </w:r>
      <w:r>
        <w:rPr>
          <w:rFonts w:hint="eastAsia" w:ascii="黑体" w:hAnsi="黑体" w:eastAsia="黑体" w:cs="黑体"/>
          <w:sz w:val="24"/>
          <w:szCs w:val="24"/>
        </w:rPr>
        <w:t>我方同意提供贵方可能要求的与其投标有关的一切数据或资料。</w:t>
      </w:r>
    </w:p>
    <w:p w14:paraId="01EF116C">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8、我方同意所递交的</w:t>
      </w:r>
      <w:r>
        <w:rPr>
          <w:rFonts w:hint="eastAsia" w:ascii="黑体" w:hAnsi="黑体" w:eastAsia="黑体" w:cs="黑体"/>
          <w:sz w:val="24"/>
          <w:szCs w:val="24"/>
          <w:lang w:val="en-US" w:eastAsia="zh-CN"/>
        </w:rPr>
        <w:t>响应</w:t>
      </w:r>
      <w:r>
        <w:rPr>
          <w:rFonts w:hint="eastAsia" w:ascii="黑体" w:hAnsi="黑体" w:eastAsia="黑体" w:cs="黑体"/>
          <w:sz w:val="24"/>
          <w:szCs w:val="24"/>
        </w:rPr>
        <w:t>文件在投标有效期内有效，在此期间内我方如果成交，我方将受此约束。</w:t>
      </w:r>
    </w:p>
    <w:p w14:paraId="01F8B6CC">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lang w:val="en-US" w:eastAsia="zh-CN"/>
        </w:rPr>
        <w:t>9、</w:t>
      </w:r>
      <w:r>
        <w:rPr>
          <w:rFonts w:hint="eastAsia" w:ascii="黑体" w:hAnsi="黑体" w:eastAsia="黑体" w:cs="黑体"/>
          <w:sz w:val="24"/>
          <w:szCs w:val="24"/>
        </w:rPr>
        <w:t>我方</w:t>
      </w:r>
      <w:r>
        <w:rPr>
          <w:rFonts w:hint="eastAsia" w:ascii="黑体" w:hAnsi="黑体" w:eastAsia="黑体" w:cs="黑体"/>
          <w:sz w:val="24"/>
          <w:szCs w:val="24"/>
          <w:lang w:val="en-US" w:eastAsia="zh-CN"/>
        </w:rPr>
        <w:t>承诺不存在</w:t>
      </w:r>
      <w:r>
        <w:rPr>
          <w:rFonts w:hint="eastAsia" w:ascii="黑体" w:hAnsi="黑体" w:eastAsia="黑体" w:cs="黑体"/>
          <w:sz w:val="24"/>
          <w:szCs w:val="24"/>
        </w:rPr>
        <w:t>法律、行政法规规定的其他</w:t>
      </w:r>
      <w:r>
        <w:rPr>
          <w:rFonts w:hint="eastAsia" w:ascii="黑体" w:hAnsi="黑体" w:eastAsia="黑体" w:cs="黑体"/>
          <w:sz w:val="24"/>
          <w:szCs w:val="24"/>
          <w:lang w:val="en-US" w:eastAsia="zh-CN"/>
        </w:rPr>
        <w:t>禁止投标的</w:t>
      </w:r>
      <w:r>
        <w:rPr>
          <w:rFonts w:hint="eastAsia" w:ascii="黑体" w:hAnsi="黑体" w:eastAsia="黑体" w:cs="黑体"/>
          <w:sz w:val="24"/>
          <w:szCs w:val="24"/>
        </w:rPr>
        <w:t>条件。</w:t>
      </w:r>
    </w:p>
    <w:p w14:paraId="13003715">
      <w:pPr>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lang w:val="en-US" w:eastAsia="zh-CN"/>
        </w:rPr>
        <w:t>10、</w:t>
      </w:r>
      <w:r>
        <w:rPr>
          <w:rFonts w:hint="eastAsia" w:ascii="黑体" w:hAnsi="黑体" w:eastAsia="黑体" w:cs="黑体"/>
          <w:sz w:val="24"/>
          <w:szCs w:val="24"/>
        </w:rPr>
        <w:t>我方</w:t>
      </w:r>
      <w:r>
        <w:rPr>
          <w:rFonts w:hint="eastAsia" w:ascii="黑体" w:hAnsi="黑体" w:eastAsia="黑体" w:cs="黑体"/>
          <w:sz w:val="24"/>
          <w:szCs w:val="24"/>
          <w:lang w:val="en-US" w:eastAsia="zh-CN"/>
        </w:rPr>
        <w:t>承诺</w:t>
      </w:r>
      <w:r>
        <w:rPr>
          <w:rFonts w:hint="eastAsia" w:ascii="黑体" w:hAnsi="黑体" w:eastAsia="黑体" w:cs="黑体"/>
          <w:sz w:val="24"/>
          <w:szCs w:val="24"/>
        </w:rPr>
        <w:t>不存在供应商须知</w:t>
      </w:r>
      <w:r>
        <w:rPr>
          <w:rFonts w:hint="eastAsia" w:ascii="黑体" w:hAnsi="黑体" w:eastAsia="黑体" w:cs="黑体"/>
          <w:sz w:val="24"/>
          <w:szCs w:val="24"/>
          <w:lang w:val="en-US" w:eastAsia="zh-CN"/>
        </w:rPr>
        <w:t>1.4.3规定的任一</w:t>
      </w:r>
      <w:r>
        <w:rPr>
          <w:rFonts w:hint="eastAsia" w:ascii="黑体" w:hAnsi="黑体" w:eastAsia="黑体" w:cs="黑体"/>
          <w:sz w:val="24"/>
          <w:szCs w:val="24"/>
        </w:rPr>
        <w:t>情形</w:t>
      </w:r>
      <w:r>
        <w:rPr>
          <w:rFonts w:hint="eastAsia" w:ascii="黑体" w:hAnsi="黑体" w:eastAsia="黑体" w:cs="黑体"/>
          <w:sz w:val="24"/>
          <w:szCs w:val="24"/>
          <w:lang w:eastAsia="zh-CN"/>
        </w:rPr>
        <w:t>。</w:t>
      </w:r>
    </w:p>
    <w:p w14:paraId="5D456C9C">
      <w:pPr>
        <w:spacing w:line="240" w:lineRule="auto"/>
        <w:ind w:firstLine="480" w:firstLineChars="200"/>
        <w:rPr>
          <w:rFonts w:hint="eastAsia" w:ascii="黑体" w:hAnsi="黑体" w:eastAsia="黑体" w:cs="黑体"/>
          <w:sz w:val="24"/>
          <w:szCs w:val="24"/>
        </w:rPr>
      </w:pPr>
    </w:p>
    <w:p w14:paraId="533D1293">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所有有关本标书的函电，请按下列地址联系：</w:t>
      </w:r>
    </w:p>
    <w:p w14:paraId="5BB52BF9">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地址：</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rPr>
        <w:t>邮政编码：</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lang w:val="en-US" w:eastAsia="zh-CN"/>
        </w:rPr>
        <w:t xml:space="preserve">       </w:t>
      </w:r>
      <w:r>
        <w:rPr>
          <w:rFonts w:hint="eastAsia" w:ascii="黑体" w:hAnsi="黑体" w:eastAsia="黑体" w:cs="黑体"/>
          <w:b w:val="0"/>
          <w:bCs/>
          <w:sz w:val="21"/>
          <w:szCs w:val="21"/>
          <w:highlight w:val="none"/>
          <w:u w:val="single"/>
        </w:rPr>
        <w:t xml:space="preserve">                                    </w:t>
      </w:r>
    </w:p>
    <w:p w14:paraId="5D39E956">
      <w:pPr>
        <w:spacing w:line="480" w:lineRule="auto"/>
        <w:ind w:firstLine="480" w:firstLineChars="200"/>
        <w:rPr>
          <w:rFonts w:hint="eastAsia" w:ascii="黑体" w:hAnsi="黑体" w:eastAsia="黑体" w:cs="黑体"/>
          <w:sz w:val="24"/>
          <w:szCs w:val="24"/>
          <w:lang w:val="en-US" w:eastAsia="zh-CN"/>
        </w:rPr>
      </w:pPr>
      <w:r>
        <w:rPr>
          <w:rFonts w:hint="eastAsia" w:ascii="黑体" w:hAnsi="黑体" w:eastAsia="黑体" w:cs="黑体"/>
          <w:sz w:val="24"/>
          <w:szCs w:val="24"/>
        </w:rPr>
        <w:t>电话：</w:t>
      </w:r>
      <w:r>
        <w:rPr>
          <w:rFonts w:hint="eastAsia" w:ascii="黑体" w:hAnsi="黑体" w:eastAsia="黑体" w:cs="黑体"/>
          <w:b w:val="0"/>
          <w:bCs/>
          <w:sz w:val="21"/>
          <w:szCs w:val="21"/>
          <w:highlight w:val="none"/>
          <w:u w:val="single"/>
        </w:rPr>
        <w:t xml:space="preserve">                    </w:t>
      </w:r>
      <w:r>
        <w:rPr>
          <w:rFonts w:hint="eastAsia" w:ascii="黑体" w:hAnsi="黑体" w:eastAsia="黑体" w:cs="黑体"/>
          <w:b w:val="0"/>
          <w:bCs/>
          <w:sz w:val="21"/>
          <w:szCs w:val="21"/>
          <w:highlight w:val="none"/>
          <w:u w:val="single"/>
          <w:lang w:val="en-US" w:eastAsia="zh-CN"/>
        </w:rPr>
        <w:t xml:space="preserve">         </w:t>
      </w:r>
      <w:r>
        <w:rPr>
          <w:rFonts w:hint="eastAsia" w:ascii="黑体" w:hAnsi="黑体" w:eastAsia="黑体" w:cs="黑体"/>
          <w:sz w:val="24"/>
          <w:szCs w:val="24"/>
        </w:rPr>
        <w:t>传    真：</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lang w:val="en-US" w:eastAsia="zh-CN"/>
        </w:rPr>
        <w:t xml:space="preserve">       </w:t>
      </w:r>
      <w:r>
        <w:rPr>
          <w:rFonts w:hint="eastAsia" w:ascii="黑体" w:hAnsi="黑体" w:eastAsia="黑体" w:cs="黑体"/>
          <w:b w:val="0"/>
          <w:bCs/>
          <w:sz w:val="21"/>
          <w:szCs w:val="21"/>
          <w:highlight w:val="none"/>
          <w:u w:val="single"/>
        </w:rPr>
        <w:t xml:space="preserve">                                    </w:t>
      </w:r>
      <w:r>
        <w:rPr>
          <w:rFonts w:hint="eastAsia" w:ascii="黑体" w:hAnsi="黑体" w:eastAsia="黑体" w:cs="黑体"/>
          <w:b w:val="0"/>
          <w:bCs/>
          <w:sz w:val="21"/>
          <w:szCs w:val="21"/>
          <w:highlight w:val="none"/>
          <w:u w:val="single"/>
          <w:lang w:val="en-US" w:eastAsia="zh-CN"/>
        </w:rPr>
        <w:t xml:space="preserve"> </w:t>
      </w:r>
    </w:p>
    <w:p w14:paraId="20E574AD">
      <w:pPr>
        <w:spacing w:line="480" w:lineRule="auto"/>
        <w:ind w:firstLine="480" w:firstLineChars="200"/>
        <w:rPr>
          <w:rFonts w:hint="eastAsia" w:ascii="黑体" w:hAnsi="黑体" w:eastAsia="黑体" w:cs="黑体"/>
          <w:sz w:val="24"/>
          <w:szCs w:val="24"/>
        </w:rPr>
      </w:pPr>
      <w:r>
        <w:rPr>
          <w:rFonts w:hint="eastAsia" w:ascii="黑体" w:hAnsi="黑体" w:eastAsia="黑体" w:cs="黑体"/>
          <w:color w:val="000000"/>
          <w:sz w:val="24"/>
          <w:lang w:eastAsia="zh-CN"/>
        </w:rPr>
        <w:t>供应商</w:t>
      </w:r>
      <w:r>
        <w:rPr>
          <w:rFonts w:hint="eastAsia" w:ascii="黑体" w:hAnsi="黑体" w:eastAsia="黑体" w:cs="黑体"/>
          <w:sz w:val="24"/>
          <w:szCs w:val="24"/>
        </w:rPr>
        <w:t>名称（公章）：</w:t>
      </w:r>
      <w:r>
        <w:rPr>
          <w:rFonts w:hint="eastAsia" w:ascii="黑体" w:hAnsi="黑体" w:eastAsia="黑体" w:cs="黑体"/>
          <w:b w:val="0"/>
          <w:bCs/>
          <w:sz w:val="21"/>
          <w:szCs w:val="21"/>
          <w:highlight w:val="none"/>
          <w:u w:val="single"/>
        </w:rPr>
        <w:t xml:space="preserve"> </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b w:val="0"/>
          <w:bCs/>
          <w:sz w:val="21"/>
          <w:szCs w:val="21"/>
          <w:highlight w:val="none"/>
          <w:u w:val="single"/>
        </w:rPr>
        <w:t xml:space="preserve">                                </w:t>
      </w:r>
      <w:r>
        <w:rPr>
          <w:rFonts w:hint="eastAsia" w:ascii="黑体" w:hAnsi="黑体" w:eastAsia="黑体" w:cs="黑体"/>
          <w:b w:val="0"/>
          <w:bCs/>
          <w:sz w:val="21"/>
          <w:szCs w:val="21"/>
          <w:highlight w:val="none"/>
          <w:u w:val="single"/>
          <w:lang w:val="en-US" w:eastAsia="zh-CN"/>
        </w:rPr>
        <w:t xml:space="preserve">     </w:t>
      </w:r>
      <w:r>
        <w:rPr>
          <w:rFonts w:hint="eastAsia" w:ascii="黑体" w:hAnsi="黑体" w:eastAsia="黑体" w:cs="黑体"/>
          <w:b w:val="0"/>
          <w:bCs/>
          <w:sz w:val="21"/>
          <w:szCs w:val="21"/>
          <w:highlight w:val="none"/>
          <w:u w:val="single"/>
        </w:rPr>
        <w:t xml:space="preserve">   </w:t>
      </w:r>
      <w:r>
        <w:rPr>
          <w:rFonts w:hint="eastAsia" w:ascii="黑体" w:hAnsi="黑体" w:eastAsia="黑体" w:cs="黑体"/>
          <w:sz w:val="24"/>
          <w:szCs w:val="24"/>
        </w:rPr>
        <w:t xml:space="preserve">  </w:t>
      </w:r>
    </w:p>
    <w:p w14:paraId="71B0CEE5">
      <w:pPr>
        <w:spacing w:line="480" w:lineRule="auto"/>
        <w:ind w:firstLine="480" w:firstLineChars="200"/>
        <w:rPr>
          <w:rFonts w:hint="eastAsia" w:ascii="黑体" w:hAnsi="黑体" w:eastAsia="黑体" w:cs="黑体"/>
          <w:color w:val="000000"/>
          <w:sz w:val="24"/>
          <w:szCs w:val="24"/>
        </w:rPr>
      </w:pPr>
      <w:r>
        <w:rPr>
          <w:rFonts w:hint="eastAsia" w:ascii="黑体" w:hAnsi="黑体" w:eastAsia="黑体" w:cs="黑体"/>
          <w:color w:val="000000"/>
          <w:sz w:val="24"/>
          <w:szCs w:val="24"/>
        </w:rPr>
        <w:t>法人代表（签字或盖章）：</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b w:val="0"/>
          <w:bCs/>
          <w:sz w:val="21"/>
          <w:szCs w:val="21"/>
          <w:highlight w:val="none"/>
          <w:u w:val="single"/>
        </w:rPr>
        <w:t xml:space="preserve">                                    </w:t>
      </w:r>
      <w:r>
        <w:rPr>
          <w:rFonts w:hint="eastAsia" w:ascii="黑体" w:hAnsi="黑体" w:eastAsia="黑体" w:cs="黑体"/>
          <w:color w:val="000000"/>
          <w:sz w:val="24"/>
          <w:szCs w:val="24"/>
        </w:rPr>
        <w:t xml:space="preserve">   </w:t>
      </w:r>
    </w:p>
    <w:p w14:paraId="0B2CC115">
      <w:pPr>
        <w:spacing w:line="480" w:lineRule="auto"/>
        <w:ind w:firstLine="480" w:firstLineChars="200"/>
        <w:rPr>
          <w:rFonts w:hint="eastAsia" w:ascii="黑体" w:hAnsi="黑体" w:eastAsia="黑体" w:cs="黑体"/>
          <w:b w:val="0"/>
          <w:bCs/>
          <w:sz w:val="21"/>
          <w:szCs w:val="21"/>
          <w:highlight w:val="none"/>
          <w:u w:val="single"/>
        </w:rPr>
      </w:pPr>
      <w:r>
        <w:rPr>
          <w:rFonts w:hint="eastAsia" w:ascii="黑体" w:hAnsi="黑体" w:eastAsia="黑体" w:cs="黑体"/>
          <w:color w:val="000000"/>
          <w:sz w:val="24"/>
          <w:szCs w:val="24"/>
        </w:rPr>
        <w:t>授权代表（签字）：</w:t>
      </w:r>
      <w:r>
        <w:rPr>
          <w:rFonts w:hint="eastAsia" w:ascii="黑体" w:hAnsi="黑体" w:eastAsia="黑体" w:cs="黑体"/>
          <w:b w:val="0"/>
          <w:bCs/>
          <w:sz w:val="21"/>
          <w:szCs w:val="21"/>
          <w:highlight w:val="none"/>
          <w:u w:val="single"/>
        </w:rPr>
        <w:t xml:space="preserve"> </w:t>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sz w:val="24"/>
          <w:szCs w:val="24"/>
          <w:u w:val="single"/>
        </w:rPr>
        <w:tab/>
      </w:r>
      <w:r>
        <w:rPr>
          <w:rFonts w:hint="eastAsia" w:ascii="黑体" w:hAnsi="黑体" w:eastAsia="黑体" w:cs="黑体"/>
          <w:b w:val="0"/>
          <w:bCs/>
          <w:sz w:val="21"/>
          <w:szCs w:val="21"/>
          <w:highlight w:val="none"/>
          <w:u w:val="single"/>
        </w:rPr>
        <w:t xml:space="preserve">                                 </w:t>
      </w:r>
      <w:r>
        <w:rPr>
          <w:rFonts w:hint="eastAsia" w:ascii="黑体" w:hAnsi="黑体" w:eastAsia="黑体" w:cs="黑体"/>
          <w:b w:val="0"/>
          <w:bCs/>
          <w:sz w:val="21"/>
          <w:szCs w:val="21"/>
          <w:highlight w:val="none"/>
          <w:u w:val="single"/>
          <w:lang w:val="en-US" w:eastAsia="zh-CN"/>
        </w:rPr>
        <w:t xml:space="preserve">       </w:t>
      </w:r>
      <w:r>
        <w:rPr>
          <w:rFonts w:hint="eastAsia" w:ascii="黑体" w:hAnsi="黑体" w:eastAsia="黑体" w:cs="黑体"/>
          <w:b w:val="0"/>
          <w:bCs/>
          <w:sz w:val="21"/>
          <w:szCs w:val="21"/>
          <w:highlight w:val="none"/>
          <w:u w:val="single"/>
        </w:rPr>
        <w:t xml:space="preserve">  </w:t>
      </w:r>
      <w:r>
        <w:rPr>
          <w:rFonts w:hint="eastAsia" w:ascii="黑体" w:hAnsi="黑体" w:eastAsia="黑体" w:cs="黑体"/>
          <w:color w:val="000000"/>
          <w:sz w:val="24"/>
          <w:szCs w:val="24"/>
        </w:rPr>
        <w:t xml:space="preserve">                                         </w:t>
      </w:r>
    </w:p>
    <w:p w14:paraId="3DE2392B">
      <w:pPr>
        <w:spacing w:line="360" w:lineRule="auto"/>
        <w:ind w:firstLine="6300" w:firstLineChars="3000"/>
        <w:jc w:val="left"/>
        <w:rPr>
          <w:rFonts w:hint="eastAsia" w:ascii="黑体" w:hAnsi="黑体" w:eastAsia="黑体" w:cs="黑体"/>
          <w:color w:val="000000"/>
          <w:sz w:val="24"/>
          <w:szCs w:val="24"/>
          <w:lang w:eastAsia="zh-CN"/>
        </w:rPr>
      </w:pPr>
      <w:r>
        <w:rPr>
          <w:rFonts w:hint="eastAsia" w:ascii="黑体" w:hAnsi="黑体" w:eastAsia="黑体" w:cs="黑体"/>
          <w:b w:val="0"/>
          <w:bCs/>
          <w:sz w:val="21"/>
          <w:szCs w:val="21"/>
          <w:highlight w:val="none"/>
          <w:u w:val="single"/>
        </w:rPr>
        <w:t xml:space="preserve">        </w:t>
      </w:r>
      <w:r>
        <w:rPr>
          <w:rFonts w:hint="eastAsia" w:ascii="黑体" w:hAnsi="黑体" w:eastAsia="黑体" w:cs="黑体"/>
          <w:color w:val="000000"/>
          <w:sz w:val="24"/>
          <w:szCs w:val="24"/>
        </w:rPr>
        <w:t>年</w:t>
      </w:r>
      <w:r>
        <w:rPr>
          <w:rFonts w:hint="eastAsia" w:ascii="黑体" w:hAnsi="黑体" w:eastAsia="黑体" w:cs="黑体"/>
          <w:b w:val="0"/>
          <w:bCs/>
          <w:sz w:val="21"/>
          <w:szCs w:val="21"/>
          <w:highlight w:val="none"/>
          <w:u w:val="single"/>
        </w:rPr>
        <w:t xml:space="preserve">      </w:t>
      </w:r>
      <w:r>
        <w:rPr>
          <w:rFonts w:hint="eastAsia" w:ascii="黑体" w:hAnsi="黑体" w:eastAsia="黑体" w:cs="黑体"/>
          <w:b w:val="0"/>
          <w:bCs/>
          <w:sz w:val="21"/>
          <w:szCs w:val="21"/>
          <w:highlight w:val="none"/>
          <w:u w:val="single"/>
          <w:lang w:val="en-US" w:eastAsia="zh-CN"/>
        </w:rPr>
        <w:t xml:space="preserve"> </w:t>
      </w:r>
      <w:r>
        <w:rPr>
          <w:rFonts w:hint="eastAsia" w:ascii="黑体" w:hAnsi="黑体" w:eastAsia="黑体" w:cs="黑体"/>
          <w:color w:val="000000"/>
          <w:sz w:val="24"/>
          <w:szCs w:val="24"/>
        </w:rPr>
        <w:t>月</w:t>
      </w:r>
      <w:r>
        <w:rPr>
          <w:rFonts w:hint="eastAsia" w:ascii="黑体" w:hAnsi="黑体" w:eastAsia="黑体" w:cs="黑体"/>
          <w:b w:val="0"/>
          <w:bCs/>
          <w:sz w:val="21"/>
          <w:szCs w:val="21"/>
          <w:highlight w:val="none"/>
          <w:u w:val="single"/>
        </w:rPr>
        <w:t xml:space="preserve">      </w:t>
      </w:r>
      <w:r>
        <w:rPr>
          <w:rFonts w:hint="eastAsia" w:ascii="黑体" w:hAnsi="黑体" w:eastAsia="黑体" w:cs="黑体"/>
          <w:color w:val="000000"/>
          <w:sz w:val="24"/>
          <w:szCs w:val="24"/>
          <w:lang w:eastAsia="zh-CN"/>
        </w:rPr>
        <w:t>日</w:t>
      </w:r>
    </w:p>
    <w:p w14:paraId="36689612">
      <w:pPr>
        <w:pStyle w:val="2"/>
        <w:rPr>
          <w:rFonts w:hint="eastAsia" w:ascii="黑体" w:hAnsi="黑体" w:eastAsia="黑体" w:cs="黑体"/>
        </w:rPr>
      </w:pPr>
    </w:p>
    <w:bookmarkEnd w:id="355"/>
    <w:p w14:paraId="2D2F89BE">
      <w:pPr>
        <w:pStyle w:val="14"/>
        <w:keepNext w:val="0"/>
        <w:keepLines w:val="0"/>
        <w:pageBreakBefore w:val="0"/>
        <w:widowControl w:val="0"/>
        <w:kinsoku/>
        <w:wordWrap/>
        <w:overflowPunct/>
        <w:topLinePunct w:val="0"/>
        <w:autoSpaceDE/>
        <w:autoSpaceDN/>
        <w:bidi w:val="0"/>
        <w:adjustRightInd/>
        <w:snapToGrid/>
        <w:spacing w:before="13" w:line="500" w:lineRule="exact"/>
        <w:jc w:val="center"/>
        <w:textAlignment w:val="auto"/>
        <w:outlineLvl w:val="1"/>
        <w:rPr>
          <w:rFonts w:hint="eastAsia" w:ascii="黑体" w:hAnsi="黑体" w:eastAsia="黑体" w:cs="黑体"/>
          <w:b/>
          <w:sz w:val="28"/>
          <w:szCs w:val="28"/>
        </w:rPr>
      </w:pPr>
      <w:bookmarkStart w:id="356" w:name="_Toc24348"/>
      <w:bookmarkStart w:id="357" w:name="_Toc27265"/>
      <w:bookmarkStart w:id="358" w:name="_Toc1479"/>
      <w:bookmarkStart w:id="359" w:name="_Toc13260"/>
      <w:r>
        <w:rPr>
          <w:rFonts w:hint="eastAsia" w:ascii="黑体" w:hAnsi="黑体" w:eastAsia="黑体" w:cs="黑体"/>
          <w:b/>
          <w:sz w:val="28"/>
          <w:szCs w:val="28"/>
        </w:rPr>
        <w:t>（二）</w:t>
      </w:r>
      <w:r>
        <w:rPr>
          <w:rFonts w:hint="eastAsia" w:ascii="黑体" w:hAnsi="黑体" w:eastAsia="黑体" w:cs="黑体"/>
          <w:b/>
          <w:sz w:val="28"/>
          <w:szCs w:val="28"/>
          <w:lang w:val="en-US" w:eastAsia="zh-CN"/>
        </w:rPr>
        <w:t>投标</w:t>
      </w:r>
      <w:r>
        <w:rPr>
          <w:rFonts w:hint="eastAsia" w:ascii="黑体" w:hAnsi="黑体" w:eastAsia="黑体" w:cs="黑体"/>
          <w:b/>
          <w:sz w:val="28"/>
          <w:szCs w:val="28"/>
        </w:rPr>
        <w:t>函附录</w:t>
      </w:r>
      <w:bookmarkEnd w:id="356"/>
    </w:p>
    <w:tbl>
      <w:tblPr>
        <w:tblStyle w:val="39"/>
        <w:tblpPr w:leftFromText="181" w:rightFromText="181" w:vertAnchor="text" w:horzAnchor="margin" w:tblpXSpec="center" w:tblpY="346"/>
        <w:tblOverlap w:val="never"/>
        <w:tblW w:w="10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3"/>
        <w:gridCol w:w="7126"/>
      </w:tblGrid>
      <w:tr w14:paraId="7FF28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2933" w:type="dxa"/>
            <w:vAlign w:val="center"/>
          </w:tcPr>
          <w:p w14:paraId="7978604C">
            <w:pPr>
              <w:pStyle w:val="4"/>
              <w:keepNext w:val="0"/>
              <w:keepLines w:val="0"/>
              <w:pageBreakBefore w:val="0"/>
              <w:widowControl w:val="0"/>
              <w:kinsoku/>
              <w:wordWrap/>
              <w:overflowPunct/>
              <w:topLinePunct w:val="0"/>
              <w:autoSpaceDE/>
              <w:autoSpaceDN/>
              <w:bidi w:val="0"/>
              <w:adjustRightInd/>
              <w:snapToGrid/>
              <w:spacing w:before="0" w:after="0"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60" w:name="_Toc22679"/>
            <w:r>
              <w:rPr>
                <w:rFonts w:hint="eastAsia" w:ascii="黑体" w:hAnsi="黑体" w:eastAsia="黑体" w:cs="黑体"/>
                <w:b w:val="0"/>
                <w:bCs w:val="0"/>
                <w:spacing w:val="-4"/>
                <w:sz w:val="24"/>
                <w:szCs w:val="24"/>
                <w:lang w:val="en-US" w:eastAsia="en-US" w:bidi="ar-SA"/>
              </w:rPr>
              <w:t>项目名称</w:t>
            </w:r>
            <w:bookmarkEnd w:id="360"/>
          </w:p>
        </w:tc>
        <w:tc>
          <w:tcPr>
            <w:tcW w:w="7126" w:type="dxa"/>
            <w:vAlign w:val="center"/>
          </w:tcPr>
          <w:p w14:paraId="389A703F">
            <w:pPr>
              <w:pStyle w:val="4"/>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both"/>
              <w:textAlignment w:val="auto"/>
              <w:outlineLvl w:val="9"/>
              <w:rPr>
                <w:rFonts w:hint="eastAsia" w:ascii="黑体" w:hAnsi="黑体" w:eastAsia="黑体" w:cs="黑体"/>
                <w:b w:val="0"/>
                <w:bCs w:val="0"/>
                <w:spacing w:val="-4"/>
                <w:sz w:val="24"/>
                <w:szCs w:val="24"/>
                <w:lang w:val="en-US" w:eastAsia="en-US" w:bidi="ar-SA"/>
              </w:rPr>
            </w:pPr>
          </w:p>
        </w:tc>
      </w:tr>
      <w:tr w14:paraId="2F8B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933" w:type="dxa"/>
            <w:vAlign w:val="center"/>
          </w:tcPr>
          <w:p w14:paraId="5F373D8D">
            <w:pPr>
              <w:pStyle w:val="4"/>
              <w:keepNext w:val="0"/>
              <w:keepLines w:val="0"/>
              <w:pageBreakBefore w:val="0"/>
              <w:widowControl w:val="0"/>
              <w:kinsoku/>
              <w:wordWrap/>
              <w:overflowPunct/>
              <w:topLinePunct w:val="0"/>
              <w:autoSpaceDE/>
              <w:autoSpaceDN/>
              <w:bidi w:val="0"/>
              <w:adjustRightInd/>
              <w:snapToGrid/>
              <w:spacing w:before="0" w:after="0" w:line="240" w:lineRule="auto"/>
              <w:ind w:left="0" w:right="0"/>
              <w:jc w:val="center"/>
              <w:textAlignment w:val="auto"/>
              <w:rPr>
                <w:rFonts w:hint="eastAsia" w:ascii="黑体" w:hAnsi="黑体" w:eastAsia="黑体" w:cs="黑体"/>
                <w:b w:val="0"/>
                <w:bCs w:val="0"/>
                <w:spacing w:val="-4"/>
                <w:sz w:val="24"/>
                <w:szCs w:val="24"/>
                <w:lang w:val="en-US" w:eastAsia="zh-CN" w:bidi="ar-SA"/>
              </w:rPr>
            </w:pPr>
            <w:bookmarkStart w:id="361" w:name="_Toc28691"/>
            <w:r>
              <w:rPr>
                <w:rFonts w:hint="eastAsia" w:ascii="黑体" w:hAnsi="黑体" w:cs="黑体"/>
                <w:b w:val="0"/>
                <w:bCs w:val="0"/>
                <w:spacing w:val="-4"/>
                <w:sz w:val="24"/>
                <w:szCs w:val="24"/>
                <w:lang w:val="en-US" w:eastAsia="zh-CN" w:bidi="ar-SA"/>
              </w:rPr>
              <w:t>供应商</w:t>
            </w:r>
            <w:bookmarkEnd w:id="361"/>
          </w:p>
        </w:tc>
        <w:tc>
          <w:tcPr>
            <w:tcW w:w="7126" w:type="dxa"/>
            <w:vAlign w:val="center"/>
          </w:tcPr>
          <w:p w14:paraId="79FB9290">
            <w:pPr>
              <w:pStyle w:val="4"/>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outlineLvl w:val="9"/>
              <w:rPr>
                <w:rFonts w:hint="eastAsia" w:ascii="黑体" w:hAnsi="黑体" w:eastAsia="黑体" w:cs="黑体"/>
                <w:b w:val="0"/>
                <w:bCs w:val="0"/>
                <w:spacing w:val="-4"/>
                <w:sz w:val="24"/>
                <w:szCs w:val="24"/>
                <w:lang w:val="en-US" w:eastAsia="zh-CN" w:bidi="ar-SA"/>
              </w:rPr>
            </w:pPr>
          </w:p>
        </w:tc>
      </w:tr>
      <w:tr w14:paraId="0B13D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2933" w:type="dxa"/>
            <w:vAlign w:val="center"/>
          </w:tcPr>
          <w:p w14:paraId="72EEC3E7">
            <w:pPr>
              <w:pStyle w:val="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62" w:name="_Toc21960"/>
            <w:r>
              <w:rPr>
                <w:rFonts w:hint="eastAsia" w:ascii="黑体" w:hAnsi="黑体" w:eastAsia="黑体" w:cs="黑体"/>
                <w:b w:val="0"/>
                <w:bCs w:val="0"/>
                <w:spacing w:val="-4"/>
                <w:sz w:val="24"/>
                <w:szCs w:val="24"/>
                <w:lang w:val="en-US" w:eastAsia="en-US" w:bidi="ar-SA"/>
              </w:rPr>
              <w:t>投标范围</w:t>
            </w:r>
            <w:bookmarkEnd w:id="362"/>
          </w:p>
        </w:tc>
        <w:tc>
          <w:tcPr>
            <w:tcW w:w="7126" w:type="dxa"/>
            <w:vAlign w:val="center"/>
          </w:tcPr>
          <w:p w14:paraId="6857BDE2">
            <w:pPr>
              <w:pStyle w:val="4"/>
              <w:keepNext w:val="0"/>
              <w:keepLines w:val="0"/>
              <w:pageBreakBefore w:val="0"/>
              <w:widowControl w:val="0"/>
              <w:kinsoku/>
              <w:wordWrap/>
              <w:overflowPunct/>
              <w:topLinePunct w:val="0"/>
              <w:autoSpaceDE/>
              <w:autoSpaceDN/>
              <w:bidi w:val="0"/>
              <w:adjustRightInd/>
              <w:snapToGrid/>
              <w:spacing w:before="0" w:after="0" w:line="240" w:lineRule="auto"/>
              <w:ind w:right="0"/>
              <w:jc w:val="both"/>
              <w:textAlignment w:val="auto"/>
              <w:outlineLvl w:val="9"/>
              <w:rPr>
                <w:rFonts w:hint="eastAsia" w:ascii="黑体" w:hAnsi="黑体" w:eastAsia="黑体" w:cs="黑体"/>
                <w:b w:val="0"/>
                <w:bCs w:val="0"/>
                <w:spacing w:val="-4"/>
                <w:sz w:val="24"/>
                <w:szCs w:val="24"/>
                <w:lang w:val="en-US" w:eastAsia="en-US" w:bidi="ar-SA"/>
              </w:rPr>
            </w:pPr>
          </w:p>
        </w:tc>
      </w:tr>
      <w:tr w14:paraId="2C306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3" w:hRule="atLeast"/>
        </w:trPr>
        <w:tc>
          <w:tcPr>
            <w:tcW w:w="2933" w:type="dxa"/>
            <w:vAlign w:val="center"/>
          </w:tcPr>
          <w:p w14:paraId="67E4C36A">
            <w:pPr>
              <w:pStyle w:val="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黑体" w:hAnsi="黑体" w:eastAsia="黑体" w:cs="黑体"/>
                <w:b w:val="0"/>
                <w:bCs w:val="0"/>
                <w:spacing w:val="-4"/>
                <w:sz w:val="18"/>
                <w:szCs w:val="18"/>
                <w:lang w:val="en-US" w:eastAsia="zh-CN" w:bidi="ar-SA"/>
              </w:rPr>
            </w:pPr>
            <w:bookmarkStart w:id="363" w:name="_Toc14430"/>
            <w:r>
              <w:rPr>
                <w:rFonts w:hint="eastAsia" w:ascii="黑体" w:hAnsi="黑体" w:eastAsia="黑体" w:cs="黑体"/>
                <w:b w:val="0"/>
                <w:bCs w:val="0"/>
                <w:spacing w:val="-4"/>
                <w:sz w:val="24"/>
                <w:szCs w:val="24"/>
                <w:lang w:val="en-US" w:eastAsia="en-US" w:bidi="ar-SA"/>
              </w:rPr>
              <w:t>投标报价（元）</w:t>
            </w:r>
            <w:bookmarkEnd w:id="363"/>
          </w:p>
          <w:p w14:paraId="0E1A276F">
            <w:pPr>
              <w:pStyle w:val="4"/>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eastAsia" w:ascii="黑体" w:hAnsi="黑体" w:eastAsia="黑体" w:cs="黑体"/>
                <w:b w:val="0"/>
                <w:bCs w:val="0"/>
                <w:spacing w:val="-4"/>
                <w:sz w:val="24"/>
                <w:szCs w:val="24"/>
                <w:lang w:val="en-US" w:eastAsia="zh-CN" w:bidi="ar-SA"/>
              </w:rPr>
            </w:pPr>
            <w:bookmarkStart w:id="364" w:name="_Toc19688"/>
            <w:r>
              <w:rPr>
                <w:rFonts w:hint="eastAsia" w:ascii="黑体" w:hAnsi="黑体" w:eastAsia="黑体" w:cs="黑体"/>
                <w:b w:val="0"/>
                <w:bCs w:val="0"/>
                <w:spacing w:val="-4"/>
                <w:sz w:val="18"/>
                <w:szCs w:val="18"/>
                <w:lang w:val="en-US" w:eastAsia="zh-CN" w:bidi="ar-SA"/>
              </w:rPr>
              <w:t>（</w:t>
            </w:r>
            <w:r>
              <w:rPr>
                <w:rFonts w:hint="eastAsia" w:ascii="黑体" w:hAnsi="黑体" w:eastAsia="黑体" w:cs="黑体"/>
                <w:b w:val="0"/>
                <w:bCs w:val="0"/>
                <w:spacing w:val="-4"/>
                <w:sz w:val="18"/>
                <w:szCs w:val="18"/>
                <w:lang w:val="en-US" w:eastAsia="en-US" w:bidi="ar-SA"/>
              </w:rPr>
              <w:t>备注：该报价为含税报价</w:t>
            </w:r>
            <w:r>
              <w:rPr>
                <w:rFonts w:hint="eastAsia" w:ascii="黑体" w:hAnsi="黑体" w:eastAsia="黑体" w:cs="黑体"/>
                <w:b w:val="0"/>
                <w:bCs w:val="0"/>
                <w:spacing w:val="-4"/>
                <w:sz w:val="18"/>
                <w:szCs w:val="18"/>
                <w:lang w:val="en-US" w:eastAsia="zh-CN" w:bidi="ar-SA"/>
              </w:rPr>
              <w:t>）</w:t>
            </w:r>
            <w:bookmarkEnd w:id="364"/>
          </w:p>
        </w:tc>
        <w:tc>
          <w:tcPr>
            <w:tcW w:w="7126" w:type="dxa"/>
            <w:vAlign w:val="center"/>
          </w:tcPr>
          <w:p w14:paraId="4C39B45F">
            <w:pPr>
              <w:pStyle w:val="4"/>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eastAsia" w:ascii="黑体" w:hAnsi="黑体" w:eastAsia="黑体" w:cs="黑体"/>
                <w:b w:val="0"/>
                <w:bCs w:val="0"/>
                <w:spacing w:val="-4"/>
                <w:sz w:val="24"/>
                <w:szCs w:val="24"/>
                <w:lang w:val="en-US" w:eastAsia="en-US" w:bidi="ar-SA"/>
              </w:rPr>
            </w:pPr>
            <w:bookmarkStart w:id="365" w:name="_Toc13337"/>
            <w:r>
              <w:rPr>
                <w:rFonts w:hint="eastAsia" w:ascii="黑体" w:hAnsi="黑体" w:eastAsia="黑体" w:cs="黑体"/>
                <w:b w:val="0"/>
                <w:bCs w:val="0"/>
                <w:spacing w:val="-4"/>
                <w:sz w:val="24"/>
                <w:szCs w:val="24"/>
                <w:lang w:val="en-US" w:eastAsia="en-US" w:bidi="ar-SA"/>
              </w:rPr>
              <w:t>大写：</w:t>
            </w:r>
            <w:bookmarkEnd w:id="365"/>
            <w:r>
              <w:rPr>
                <w:rFonts w:hint="eastAsia" w:ascii="黑体" w:hAnsi="黑体" w:eastAsia="黑体" w:cs="黑体"/>
                <w:b w:val="0"/>
                <w:bCs w:val="0"/>
                <w:spacing w:val="-4"/>
                <w:sz w:val="24"/>
                <w:szCs w:val="24"/>
                <w:u w:val="single"/>
                <w:lang w:val="en-US" w:eastAsia="en-US" w:bidi="ar-SA"/>
              </w:rPr>
              <w:t xml:space="preserve">                    </w:t>
            </w:r>
          </w:p>
          <w:p w14:paraId="05423321">
            <w:pPr>
              <w:pStyle w:val="4"/>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eastAsia" w:ascii="黑体" w:hAnsi="黑体" w:eastAsia="黑体" w:cs="黑体"/>
                <w:b w:val="0"/>
                <w:bCs w:val="0"/>
                <w:spacing w:val="-4"/>
                <w:sz w:val="24"/>
                <w:szCs w:val="24"/>
                <w:lang w:val="en-US" w:eastAsia="en-US" w:bidi="ar-SA"/>
              </w:rPr>
            </w:pPr>
            <w:bookmarkStart w:id="366" w:name="_Toc17160"/>
            <w:r>
              <w:rPr>
                <w:rFonts w:hint="eastAsia" w:ascii="黑体" w:hAnsi="黑体" w:eastAsia="黑体" w:cs="黑体"/>
                <w:b w:val="0"/>
                <w:bCs w:val="0"/>
                <w:spacing w:val="-4"/>
                <w:sz w:val="24"/>
                <w:szCs w:val="24"/>
                <w:lang w:val="en-US" w:eastAsia="en-US" w:bidi="ar-SA"/>
              </w:rPr>
              <w:t>小写：</w:t>
            </w:r>
            <w:bookmarkEnd w:id="366"/>
            <w:r>
              <w:rPr>
                <w:rFonts w:hint="eastAsia" w:ascii="黑体" w:hAnsi="黑体" w:eastAsia="黑体" w:cs="黑体"/>
                <w:b w:val="0"/>
                <w:bCs w:val="0"/>
                <w:spacing w:val="-4"/>
                <w:sz w:val="24"/>
                <w:szCs w:val="24"/>
                <w:u w:val="single"/>
                <w:lang w:val="en-US" w:eastAsia="en-US" w:bidi="ar-SA"/>
              </w:rPr>
              <w:t xml:space="preserve">                    </w:t>
            </w:r>
          </w:p>
        </w:tc>
      </w:tr>
      <w:tr w14:paraId="6F676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2933" w:type="dxa"/>
            <w:tcBorders>
              <w:bottom w:val="single" w:color="auto" w:sz="4" w:space="0"/>
            </w:tcBorders>
            <w:vAlign w:val="center"/>
          </w:tcPr>
          <w:p w14:paraId="2297F286">
            <w:pPr>
              <w:pStyle w:val="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67" w:name="_Toc28649"/>
            <w:r>
              <w:rPr>
                <w:rFonts w:hint="eastAsia" w:ascii="黑体" w:hAnsi="黑体" w:cs="黑体"/>
                <w:b w:val="0"/>
                <w:bCs w:val="0"/>
                <w:spacing w:val="-4"/>
                <w:sz w:val="24"/>
                <w:szCs w:val="24"/>
                <w:lang w:val="en-US" w:eastAsia="zh-CN" w:bidi="ar-SA"/>
              </w:rPr>
              <w:t>磋商</w:t>
            </w:r>
            <w:r>
              <w:rPr>
                <w:rFonts w:hint="eastAsia" w:ascii="黑体" w:hAnsi="黑体" w:eastAsia="黑体" w:cs="黑体"/>
                <w:b w:val="0"/>
                <w:bCs w:val="0"/>
                <w:spacing w:val="-4"/>
                <w:sz w:val="24"/>
                <w:szCs w:val="24"/>
                <w:lang w:val="en-US" w:eastAsia="en-US" w:bidi="ar-SA"/>
              </w:rPr>
              <w:t>有效期</w:t>
            </w:r>
            <w:bookmarkEnd w:id="367"/>
          </w:p>
        </w:tc>
        <w:tc>
          <w:tcPr>
            <w:tcW w:w="7126" w:type="dxa"/>
            <w:tcBorders>
              <w:bottom w:val="single" w:color="auto" w:sz="4" w:space="0"/>
            </w:tcBorders>
            <w:vAlign w:val="center"/>
          </w:tcPr>
          <w:p w14:paraId="275EB74C">
            <w:pPr>
              <w:pStyle w:val="4"/>
              <w:keepNext w:val="0"/>
              <w:keepLines w:val="0"/>
              <w:pageBreakBefore w:val="0"/>
              <w:widowControl w:val="0"/>
              <w:kinsoku/>
              <w:wordWrap/>
              <w:overflowPunct/>
              <w:topLinePunct w:val="0"/>
              <w:autoSpaceDE/>
              <w:autoSpaceDN/>
              <w:bidi w:val="0"/>
              <w:adjustRightInd/>
              <w:snapToGrid/>
              <w:spacing w:before="0" w:after="0" w:line="240" w:lineRule="auto"/>
              <w:ind w:right="0"/>
              <w:jc w:val="both"/>
              <w:textAlignment w:val="auto"/>
              <w:outlineLvl w:val="9"/>
              <w:rPr>
                <w:rFonts w:hint="eastAsia" w:ascii="黑体" w:hAnsi="黑体" w:eastAsia="黑体" w:cs="黑体"/>
                <w:b w:val="0"/>
                <w:bCs w:val="0"/>
                <w:spacing w:val="-4"/>
                <w:sz w:val="24"/>
                <w:szCs w:val="24"/>
                <w:lang w:val="en-US" w:eastAsia="en-US" w:bidi="ar-SA"/>
              </w:rPr>
            </w:pPr>
          </w:p>
        </w:tc>
      </w:tr>
      <w:tr w14:paraId="4A30A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2933" w:type="dxa"/>
            <w:vAlign w:val="center"/>
          </w:tcPr>
          <w:p w14:paraId="3B0A7101">
            <w:pPr>
              <w:pStyle w:val="4"/>
              <w:keepNext w:val="0"/>
              <w:keepLines w:val="0"/>
              <w:pageBreakBefore w:val="0"/>
              <w:widowControl w:val="0"/>
              <w:kinsoku/>
              <w:wordWrap/>
              <w:overflowPunct/>
              <w:topLinePunct w:val="0"/>
              <w:autoSpaceDE/>
              <w:autoSpaceDN/>
              <w:bidi w:val="0"/>
              <w:adjustRightInd/>
              <w:snapToGrid/>
              <w:spacing w:before="0" w:after="0"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68" w:name="_Toc9894"/>
            <w:r>
              <w:rPr>
                <w:rFonts w:hint="eastAsia" w:ascii="黑体" w:hAnsi="黑体" w:eastAsia="黑体" w:cs="黑体"/>
                <w:b w:val="0"/>
                <w:bCs w:val="0"/>
                <w:spacing w:val="-4"/>
                <w:sz w:val="24"/>
                <w:szCs w:val="24"/>
                <w:lang w:val="en-US" w:eastAsia="en-US" w:bidi="ar-SA"/>
              </w:rPr>
              <w:t>交货及安装周期</w:t>
            </w:r>
            <w:bookmarkEnd w:id="368"/>
          </w:p>
        </w:tc>
        <w:tc>
          <w:tcPr>
            <w:tcW w:w="7126" w:type="dxa"/>
            <w:vAlign w:val="center"/>
          </w:tcPr>
          <w:p w14:paraId="3B600F47">
            <w:pPr>
              <w:pStyle w:val="4"/>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outlineLvl w:val="9"/>
              <w:rPr>
                <w:rFonts w:hint="eastAsia" w:ascii="黑体" w:hAnsi="黑体" w:eastAsia="黑体" w:cs="黑体"/>
                <w:b w:val="0"/>
                <w:bCs w:val="0"/>
                <w:spacing w:val="-4"/>
                <w:sz w:val="24"/>
                <w:szCs w:val="24"/>
                <w:lang w:val="en-US" w:eastAsia="en-US" w:bidi="ar-SA"/>
              </w:rPr>
            </w:pPr>
          </w:p>
        </w:tc>
      </w:tr>
      <w:tr w14:paraId="0C6CD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2933" w:type="dxa"/>
            <w:vAlign w:val="center"/>
          </w:tcPr>
          <w:p w14:paraId="385E9B9B">
            <w:pPr>
              <w:pStyle w:val="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69" w:name="_Toc11006"/>
            <w:r>
              <w:rPr>
                <w:rFonts w:hint="eastAsia" w:ascii="黑体" w:hAnsi="黑体" w:eastAsia="黑体" w:cs="黑体"/>
                <w:b w:val="0"/>
                <w:bCs w:val="0"/>
                <w:spacing w:val="-4"/>
                <w:sz w:val="24"/>
                <w:szCs w:val="24"/>
                <w:lang w:val="en-US" w:eastAsia="en-US" w:bidi="ar-SA"/>
              </w:rPr>
              <w:t>投标质量</w:t>
            </w:r>
            <w:bookmarkEnd w:id="369"/>
            <w:r>
              <w:rPr>
                <w:rFonts w:hint="eastAsia" w:ascii="黑体" w:hAnsi="黑体" w:eastAsia="黑体" w:cs="黑体"/>
                <w:b w:val="0"/>
                <w:bCs w:val="0"/>
                <w:spacing w:val="-4"/>
                <w:sz w:val="24"/>
                <w:szCs w:val="24"/>
                <w:lang w:val="en-US" w:eastAsia="en-US" w:bidi="ar-SA"/>
              </w:rPr>
              <w:t xml:space="preserve"> </w:t>
            </w:r>
          </w:p>
        </w:tc>
        <w:tc>
          <w:tcPr>
            <w:tcW w:w="7126" w:type="dxa"/>
            <w:vAlign w:val="center"/>
          </w:tcPr>
          <w:p w14:paraId="6AA5B6C4">
            <w:pPr>
              <w:pStyle w:val="4"/>
              <w:keepNext w:val="0"/>
              <w:keepLines w:val="0"/>
              <w:pageBreakBefore w:val="0"/>
              <w:widowControl w:val="0"/>
              <w:kinsoku/>
              <w:wordWrap/>
              <w:overflowPunct/>
              <w:topLinePunct w:val="0"/>
              <w:autoSpaceDE/>
              <w:autoSpaceDN/>
              <w:bidi w:val="0"/>
              <w:adjustRightInd/>
              <w:snapToGrid/>
              <w:spacing w:before="0" w:after="0" w:line="240" w:lineRule="auto"/>
              <w:ind w:right="0"/>
              <w:jc w:val="both"/>
              <w:textAlignment w:val="auto"/>
              <w:outlineLvl w:val="9"/>
              <w:rPr>
                <w:rFonts w:hint="eastAsia" w:ascii="黑体" w:hAnsi="黑体" w:eastAsia="黑体" w:cs="黑体"/>
                <w:b w:val="0"/>
                <w:bCs w:val="0"/>
                <w:spacing w:val="-4"/>
                <w:sz w:val="24"/>
                <w:szCs w:val="24"/>
                <w:lang w:val="en-US" w:eastAsia="en-US" w:bidi="ar-SA"/>
              </w:rPr>
            </w:pPr>
          </w:p>
        </w:tc>
      </w:tr>
      <w:tr w14:paraId="0F55C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2933" w:type="dxa"/>
            <w:vAlign w:val="center"/>
          </w:tcPr>
          <w:p w14:paraId="387DEC59">
            <w:pPr>
              <w:pStyle w:val="4"/>
              <w:keepNext w:val="0"/>
              <w:keepLines w:val="0"/>
              <w:pageBreakBefore w:val="0"/>
              <w:widowControl w:val="0"/>
              <w:kinsoku/>
              <w:wordWrap/>
              <w:overflowPunct/>
              <w:topLinePunct w:val="0"/>
              <w:autoSpaceDE/>
              <w:autoSpaceDN/>
              <w:bidi w:val="0"/>
              <w:adjustRightInd/>
              <w:snapToGrid/>
              <w:spacing w:before="0" w:after="0"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70" w:name="_Toc16955"/>
            <w:r>
              <w:rPr>
                <w:rFonts w:hint="eastAsia" w:ascii="黑体" w:hAnsi="黑体" w:eastAsia="黑体" w:cs="黑体"/>
                <w:b w:val="0"/>
                <w:bCs w:val="0"/>
                <w:spacing w:val="-4"/>
                <w:sz w:val="24"/>
                <w:szCs w:val="24"/>
                <w:lang w:val="zh-CN" w:eastAsia="en-US" w:bidi="ar-SA"/>
              </w:rPr>
              <w:t>质保</w:t>
            </w:r>
            <w:r>
              <w:rPr>
                <w:rFonts w:hint="eastAsia" w:ascii="黑体" w:hAnsi="黑体" w:eastAsia="黑体" w:cs="黑体"/>
                <w:b w:val="0"/>
                <w:bCs w:val="0"/>
                <w:spacing w:val="-4"/>
                <w:sz w:val="24"/>
                <w:szCs w:val="24"/>
                <w:lang w:val="en-US" w:eastAsia="en-US" w:bidi="ar-SA"/>
              </w:rPr>
              <w:t>期</w:t>
            </w:r>
            <w:bookmarkEnd w:id="370"/>
          </w:p>
        </w:tc>
        <w:tc>
          <w:tcPr>
            <w:tcW w:w="7126" w:type="dxa"/>
            <w:vAlign w:val="center"/>
          </w:tcPr>
          <w:p w14:paraId="0AFD5283">
            <w:pPr>
              <w:pStyle w:val="4"/>
              <w:keepNext w:val="0"/>
              <w:keepLines w:val="0"/>
              <w:pageBreakBefore w:val="0"/>
              <w:widowControl w:val="0"/>
              <w:kinsoku/>
              <w:wordWrap/>
              <w:overflowPunct/>
              <w:topLinePunct w:val="0"/>
              <w:autoSpaceDE/>
              <w:autoSpaceDN/>
              <w:bidi w:val="0"/>
              <w:adjustRightInd/>
              <w:snapToGrid/>
              <w:spacing w:line="240" w:lineRule="auto"/>
              <w:ind w:left="1528" w:right="0"/>
              <w:jc w:val="center"/>
              <w:textAlignment w:val="auto"/>
              <w:outlineLvl w:val="9"/>
              <w:rPr>
                <w:rFonts w:hint="eastAsia" w:ascii="黑体" w:hAnsi="黑体" w:eastAsia="黑体" w:cs="黑体"/>
                <w:b w:val="0"/>
                <w:bCs w:val="0"/>
                <w:spacing w:val="-4"/>
                <w:sz w:val="24"/>
                <w:szCs w:val="24"/>
                <w:lang w:val="en-US" w:eastAsia="en-US" w:bidi="ar-SA"/>
              </w:rPr>
            </w:pPr>
          </w:p>
        </w:tc>
      </w:tr>
      <w:tr w14:paraId="2A426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8" w:hRule="atLeast"/>
        </w:trPr>
        <w:tc>
          <w:tcPr>
            <w:tcW w:w="2933" w:type="dxa"/>
            <w:vAlign w:val="center"/>
          </w:tcPr>
          <w:p w14:paraId="0959A583">
            <w:pPr>
              <w:pStyle w:val="4"/>
              <w:keepNext w:val="0"/>
              <w:keepLines w:val="0"/>
              <w:pageBreakBefore w:val="0"/>
              <w:widowControl w:val="0"/>
              <w:kinsoku/>
              <w:wordWrap/>
              <w:overflowPunct/>
              <w:topLinePunct w:val="0"/>
              <w:autoSpaceDE/>
              <w:autoSpaceDN/>
              <w:bidi w:val="0"/>
              <w:adjustRightInd/>
              <w:snapToGrid/>
              <w:spacing w:before="0" w:after="0" w:line="240" w:lineRule="auto"/>
              <w:ind w:left="0" w:right="0"/>
              <w:jc w:val="center"/>
              <w:textAlignment w:val="auto"/>
              <w:rPr>
                <w:rFonts w:hint="eastAsia" w:ascii="黑体" w:hAnsi="黑体" w:eastAsia="黑体" w:cs="黑体"/>
                <w:b w:val="0"/>
                <w:bCs w:val="0"/>
                <w:spacing w:val="-4"/>
                <w:sz w:val="24"/>
                <w:szCs w:val="24"/>
                <w:lang w:val="en-US" w:eastAsia="en-US" w:bidi="ar-SA"/>
              </w:rPr>
            </w:pPr>
            <w:bookmarkStart w:id="371" w:name="_Toc30186"/>
            <w:r>
              <w:rPr>
                <w:rFonts w:hint="eastAsia" w:ascii="黑体" w:hAnsi="黑体" w:eastAsia="黑体" w:cs="黑体"/>
                <w:b w:val="0"/>
                <w:bCs w:val="0"/>
                <w:spacing w:val="-4"/>
                <w:sz w:val="24"/>
                <w:szCs w:val="24"/>
                <w:lang w:val="en-US" w:eastAsia="en-US" w:bidi="ar-SA"/>
              </w:rPr>
              <w:t>需要说明的问题</w:t>
            </w:r>
            <w:bookmarkEnd w:id="371"/>
          </w:p>
        </w:tc>
        <w:tc>
          <w:tcPr>
            <w:tcW w:w="7126" w:type="dxa"/>
            <w:vAlign w:val="center"/>
          </w:tcPr>
          <w:p w14:paraId="292D37FF">
            <w:pPr>
              <w:pStyle w:val="4"/>
              <w:keepNext w:val="0"/>
              <w:keepLines w:val="0"/>
              <w:pageBreakBefore w:val="0"/>
              <w:widowControl w:val="0"/>
              <w:kinsoku/>
              <w:wordWrap/>
              <w:overflowPunct/>
              <w:topLinePunct w:val="0"/>
              <w:autoSpaceDE/>
              <w:autoSpaceDN/>
              <w:bidi w:val="0"/>
              <w:adjustRightInd/>
              <w:snapToGrid/>
              <w:spacing w:line="240" w:lineRule="auto"/>
              <w:ind w:left="1528" w:right="0"/>
              <w:jc w:val="center"/>
              <w:textAlignment w:val="auto"/>
              <w:outlineLvl w:val="9"/>
              <w:rPr>
                <w:rFonts w:hint="eastAsia" w:ascii="黑体" w:hAnsi="黑体" w:eastAsia="黑体" w:cs="黑体"/>
                <w:b w:val="0"/>
                <w:bCs w:val="0"/>
                <w:spacing w:val="-4"/>
                <w:sz w:val="24"/>
                <w:szCs w:val="24"/>
                <w:lang w:val="en-US" w:eastAsia="en-US" w:bidi="ar-SA"/>
              </w:rPr>
            </w:pPr>
          </w:p>
        </w:tc>
      </w:tr>
    </w:tbl>
    <w:p w14:paraId="7AE7E71A">
      <w:pPr>
        <w:pStyle w:val="4"/>
        <w:keepNext w:val="0"/>
        <w:keepLines w:val="0"/>
        <w:pageBreakBefore w:val="0"/>
        <w:widowControl w:val="0"/>
        <w:kinsoku/>
        <w:wordWrap/>
        <w:overflowPunct/>
        <w:topLinePunct w:val="0"/>
        <w:autoSpaceDE/>
        <w:autoSpaceDN/>
        <w:bidi w:val="0"/>
        <w:adjustRightInd/>
        <w:snapToGrid/>
        <w:spacing w:line="400" w:lineRule="exact"/>
        <w:ind w:left="0" w:right="0" w:firstLine="464" w:firstLineChars="200"/>
        <w:jc w:val="left"/>
        <w:textAlignment w:val="auto"/>
        <w:rPr>
          <w:rFonts w:hint="eastAsia" w:ascii="黑体" w:hAnsi="黑体" w:eastAsia="黑体" w:cs="黑体"/>
          <w:b w:val="0"/>
          <w:bCs w:val="0"/>
          <w:spacing w:val="-4"/>
          <w:sz w:val="24"/>
          <w:szCs w:val="24"/>
          <w:lang w:val="en-US" w:eastAsia="en-US" w:bidi="ar-SA"/>
        </w:rPr>
      </w:pPr>
      <w:bookmarkStart w:id="372" w:name="_Toc31774"/>
      <w:r>
        <w:rPr>
          <w:rFonts w:hint="eastAsia" w:ascii="黑体" w:hAnsi="黑体" w:eastAsia="黑体" w:cs="黑体"/>
          <w:b w:val="0"/>
          <w:bCs w:val="0"/>
          <w:spacing w:val="-4"/>
          <w:sz w:val="24"/>
          <w:szCs w:val="24"/>
          <w:lang w:val="zh-CN" w:eastAsia="en-US" w:bidi="ar-SA"/>
        </w:rPr>
        <w:t>注：投标报价是指从生产地到使用地并完全达到使用条件的价格，包括货物供应价、运输费、保险费、装卸费、现场安装调试费、检测验收费、税费及其它一切相关费用（包含使报价设备正常运行所需的设备及未列的辅助设备及材料、技术培训等、包验收、包安全、包工期、包售后服务，合同明示或暗示的所有风险、责任和义务等其他一切费用）。中标后不再因为</w:t>
      </w:r>
      <w:r>
        <w:rPr>
          <w:rFonts w:hint="eastAsia" w:ascii="黑体" w:hAnsi="黑体" w:cs="黑体"/>
          <w:b w:val="0"/>
          <w:bCs w:val="0"/>
          <w:spacing w:val="-4"/>
          <w:sz w:val="24"/>
          <w:szCs w:val="24"/>
          <w:lang w:val="zh-CN" w:eastAsia="en-US" w:bidi="ar-SA"/>
        </w:rPr>
        <w:t>供应商</w:t>
      </w:r>
      <w:r>
        <w:rPr>
          <w:rFonts w:hint="eastAsia" w:ascii="黑体" w:hAnsi="黑体" w:eastAsia="黑体" w:cs="黑体"/>
          <w:b w:val="0"/>
          <w:bCs w:val="0"/>
          <w:spacing w:val="-4"/>
          <w:sz w:val="24"/>
          <w:szCs w:val="24"/>
          <w:lang w:val="zh-CN" w:eastAsia="en-US" w:bidi="ar-SA"/>
        </w:rPr>
        <w:t>对</w:t>
      </w:r>
      <w:r>
        <w:rPr>
          <w:rFonts w:hint="eastAsia" w:ascii="黑体" w:hAnsi="黑体" w:cs="黑体"/>
          <w:b w:val="0"/>
          <w:bCs w:val="0"/>
          <w:spacing w:val="-4"/>
          <w:sz w:val="24"/>
          <w:szCs w:val="24"/>
          <w:lang w:val="zh-CN" w:eastAsia="en-US" w:bidi="ar-SA"/>
        </w:rPr>
        <w:t>竞争性磋商文件</w:t>
      </w:r>
      <w:r>
        <w:rPr>
          <w:rFonts w:hint="eastAsia" w:ascii="黑体" w:hAnsi="黑体" w:eastAsia="黑体" w:cs="黑体"/>
          <w:b w:val="0"/>
          <w:bCs w:val="0"/>
          <w:spacing w:val="-4"/>
          <w:sz w:val="24"/>
          <w:szCs w:val="24"/>
          <w:lang w:val="zh-CN" w:eastAsia="en-US" w:bidi="ar-SA"/>
        </w:rPr>
        <w:t>理解错误或其它任何原因而调整报价。</w:t>
      </w:r>
      <w:bookmarkEnd w:id="372"/>
    </w:p>
    <w:p w14:paraId="5E33A58D">
      <w:pPr>
        <w:pStyle w:val="4"/>
        <w:keepNext w:val="0"/>
        <w:keepLines w:val="0"/>
        <w:pageBreakBefore w:val="0"/>
        <w:widowControl w:val="0"/>
        <w:kinsoku/>
        <w:wordWrap/>
        <w:overflowPunct/>
        <w:topLinePunct w:val="0"/>
        <w:autoSpaceDE/>
        <w:autoSpaceDN/>
        <w:bidi w:val="0"/>
        <w:adjustRightInd/>
        <w:snapToGrid/>
        <w:spacing w:line="500" w:lineRule="exact"/>
        <w:ind w:right="0" w:firstLine="3016" w:firstLineChars="1300"/>
        <w:jc w:val="right"/>
        <w:textAlignment w:val="auto"/>
        <w:rPr>
          <w:rFonts w:hint="eastAsia" w:ascii="黑体" w:hAnsi="黑体" w:eastAsia="黑体" w:cs="黑体"/>
          <w:b w:val="0"/>
          <w:bCs w:val="0"/>
          <w:spacing w:val="-4"/>
          <w:sz w:val="24"/>
          <w:szCs w:val="24"/>
          <w:lang w:val="zh-CN" w:eastAsia="en-US" w:bidi="ar-SA"/>
        </w:rPr>
      </w:pPr>
      <w:bookmarkStart w:id="373" w:name="_Toc7530"/>
      <w:r>
        <w:rPr>
          <w:rFonts w:hint="eastAsia" w:ascii="黑体" w:hAnsi="黑体" w:cs="黑体"/>
          <w:b w:val="0"/>
          <w:bCs w:val="0"/>
          <w:spacing w:val="-4"/>
          <w:sz w:val="24"/>
          <w:szCs w:val="24"/>
          <w:lang w:val="zh-CN" w:eastAsia="en-US" w:bidi="ar-SA"/>
        </w:rPr>
        <w:t>供应商</w:t>
      </w:r>
      <w:r>
        <w:rPr>
          <w:rFonts w:hint="eastAsia" w:ascii="黑体" w:hAnsi="黑体" w:eastAsia="黑体" w:cs="黑体"/>
          <w:b w:val="0"/>
          <w:bCs w:val="0"/>
          <w:spacing w:val="-4"/>
          <w:sz w:val="24"/>
          <w:szCs w:val="24"/>
          <w:lang w:val="zh-CN" w:eastAsia="en-US" w:bidi="ar-SA"/>
        </w:rPr>
        <w:t>：</w:t>
      </w:r>
      <w:r>
        <w:rPr>
          <w:rFonts w:hint="eastAsia" w:ascii="黑体" w:hAnsi="黑体" w:eastAsia="黑体" w:cs="黑体"/>
          <w:b w:val="0"/>
          <w:bCs w:val="0"/>
          <w:spacing w:val="-4"/>
          <w:sz w:val="24"/>
          <w:szCs w:val="24"/>
          <w:u w:val="single"/>
          <w:lang w:val="zh-CN" w:eastAsia="en-US" w:bidi="ar-SA"/>
        </w:rPr>
        <w:tab/>
      </w:r>
      <w:r>
        <w:rPr>
          <w:rFonts w:hint="eastAsia" w:ascii="黑体" w:hAnsi="黑体" w:eastAsia="黑体" w:cs="黑体"/>
          <w:b w:val="0"/>
          <w:bCs w:val="0"/>
          <w:spacing w:val="-4"/>
          <w:sz w:val="24"/>
          <w:szCs w:val="24"/>
          <w:u w:val="single"/>
          <w:lang w:val="zh-CN" w:eastAsia="en-US" w:bidi="ar-SA"/>
        </w:rPr>
        <w:t xml:space="preserve">                         </w:t>
      </w:r>
      <w:r>
        <w:rPr>
          <w:rFonts w:hint="eastAsia" w:ascii="黑体" w:hAnsi="黑体" w:eastAsia="黑体" w:cs="黑体"/>
          <w:b w:val="0"/>
          <w:bCs w:val="0"/>
          <w:spacing w:val="-4"/>
          <w:sz w:val="24"/>
          <w:szCs w:val="24"/>
          <w:lang w:val="zh-CN" w:eastAsia="en-US" w:bidi="ar-SA"/>
        </w:rPr>
        <w:t>（盖公章）</w:t>
      </w:r>
      <w:bookmarkEnd w:id="373"/>
    </w:p>
    <w:p w14:paraId="4A8D6552">
      <w:pPr>
        <w:pStyle w:val="4"/>
        <w:keepNext w:val="0"/>
        <w:keepLines w:val="0"/>
        <w:pageBreakBefore w:val="0"/>
        <w:widowControl w:val="0"/>
        <w:kinsoku/>
        <w:wordWrap/>
        <w:overflowPunct/>
        <w:topLinePunct w:val="0"/>
        <w:autoSpaceDE/>
        <w:autoSpaceDN/>
        <w:bidi w:val="0"/>
        <w:adjustRightInd/>
        <w:snapToGrid/>
        <w:spacing w:line="500" w:lineRule="exact"/>
        <w:ind w:left="1528" w:right="0"/>
        <w:jc w:val="right"/>
        <w:textAlignment w:val="auto"/>
        <w:rPr>
          <w:rFonts w:hint="eastAsia" w:ascii="黑体" w:hAnsi="黑体" w:eastAsia="黑体" w:cs="黑体"/>
          <w:b w:val="0"/>
          <w:bCs w:val="0"/>
          <w:spacing w:val="-4"/>
          <w:sz w:val="24"/>
          <w:szCs w:val="24"/>
          <w:lang w:val="zh-CN" w:eastAsia="en-US" w:bidi="ar-SA"/>
        </w:rPr>
      </w:pPr>
      <w:r>
        <w:rPr>
          <w:rFonts w:hint="eastAsia" w:ascii="黑体" w:hAnsi="黑体" w:eastAsia="黑体" w:cs="黑体"/>
          <w:b w:val="0"/>
          <w:bCs w:val="0"/>
          <w:spacing w:val="-4"/>
          <w:sz w:val="24"/>
          <w:szCs w:val="24"/>
          <w:lang w:val="en-US" w:eastAsia="zh-CN" w:bidi="ar-SA"/>
        </w:rPr>
        <w:t xml:space="preserve">  </w:t>
      </w:r>
      <w:bookmarkStart w:id="374" w:name="_Toc5818"/>
      <w:r>
        <w:rPr>
          <w:rFonts w:hint="eastAsia" w:ascii="黑体" w:hAnsi="黑体" w:eastAsia="黑体" w:cs="黑体"/>
          <w:b w:val="0"/>
          <w:bCs w:val="0"/>
          <w:spacing w:val="-4"/>
          <w:sz w:val="24"/>
          <w:szCs w:val="24"/>
          <w:lang w:val="zh-CN" w:eastAsia="en-US" w:bidi="ar-SA"/>
        </w:rPr>
        <w:t>法定代表人或其被授权人：</w:t>
      </w:r>
      <w:r>
        <w:rPr>
          <w:rFonts w:hint="eastAsia" w:ascii="黑体" w:hAnsi="黑体" w:eastAsia="黑体" w:cs="黑体"/>
          <w:b w:val="0"/>
          <w:bCs w:val="0"/>
          <w:spacing w:val="-4"/>
          <w:sz w:val="24"/>
          <w:szCs w:val="24"/>
          <w:u w:val="single"/>
          <w:lang w:val="zh-CN" w:eastAsia="en-US" w:bidi="ar-SA"/>
        </w:rPr>
        <w:tab/>
      </w:r>
      <w:r>
        <w:rPr>
          <w:rFonts w:hint="eastAsia" w:ascii="黑体" w:hAnsi="黑体" w:eastAsia="黑体" w:cs="黑体"/>
          <w:b w:val="0"/>
          <w:bCs w:val="0"/>
          <w:spacing w:val="-4"/>
          <w:sz w:val="24"/>
          <w:szCs w:val="24"/>
          <w:u w:val="single"/>
          <w:lang w:val="zh-CN" w:eastAsia="en-US" w:bidi="ar-SA"/>
        </w:rPr>
        <w:t xml:space="preserve">              </w:t>
      </w:r>
      <w:r>
        <w:rPr>
          <w:rFonts w:hint="eastAsia" w:ascii="黑体" w:hAnsi="黑体" w:eastAsia="黑体" w:cs="黑体"/>
          <w:b w:val="0"/>
          <w:bCs w:val="0"/>
          <w:spacing w:val="-4"/>
          <w:sz w:val="24"/>
          <w:szCs w:val="24"/>
          <w:lang w:val="zh-CN" w:eastAsia="en-US" w:bidi="ar-SA"/>
        </w:rPr>
        <w:t>（签字）</w:t>
      </w:r>
      <w:bookmarkEnd w:id="374"/>
    </w:p>
    <w:p w14:paraId="7E2E586C">
      <w:pPr>
        <w:pStyle w:val="4"/>
        <w:keepNext w:val="0"/>
        <w:keepLines w:val="0"/>
        <w:pageBreakBefore w:val="0"/>
        <w:widowControl w:val="0"/>
        <w:kinsoku/>
        <w:wordWrap/>
        <w:overflowPunct/>
        <w:topLinePunct w:val="0"/>
        <w:autoSpaceDE/>
        <w:autoSpaceDN/>
        <w:bidi w:val="0"/>
        <w:adjustRightInd/>
        <w:snapToGrid/>
        <w:spacing w:line="500" w:lineRule="exact"/>
        <w:ind w:right="0" w:firstLine="3016" w:firstLineChars="1300"/>
        <w:jc w:val="right"/>
        <w:textAlignment w:val="auto"/>
        <w:rPr>
          <w:rFonts w:hint="eastAsia" w:ascii="黑体" w:hAnsi="黑体" w:eastAsia="黑体" w:cs="黑体"/>
          <w:sz w:val="28"/>
          <w:szCs w:val="28"/>
        </w:rPr>
        <w:sectPr>
          <w:pgSz w:w="11850" w:h="16783"/>
          <w:pgMar w:top="1440" w:right="1080" w:bottom="1440" w:left="1080" w:header="851" w:footer="992" w:gutter="0"/>
          <w:pgNumType w:fmt="decimal"/>
          <w:cols w:space="720" w:num="1"/>
        </w:sectPr>
      </w:pPr>
      <w:bookmarkStart w:id="375" w:name="_Toc26719"/>
      <w:r>
        <w:rPr>
          <w:rFonts w:hint="eastAsia" w:ascii="黑体" w:hAnsi="黑体" w:eastAsia="黑体" w:cs="黑体"/>
          <w:b w:val="0"/>
          <w:bCs w:val="0"/>
          <w:spacing w:val="-4"/>
          <w:sz w:val="24"/>
          <w:szCs w:val="24"/>
          <w:lang w:val="zh-CN" w:eastAsia="en-US" w:bidi="ar-SA"/>
        </w:rPr>
        <w:t>日</w:t>
      </w:r>
      <w:r>
        <w:rPr>
          <w:rFonts w:hint="eastAsia" w:ascii="黑体" w:hAnsi="黑体" w:cs="黑体"/>
          <w:b w:val="0"/>
          <w:bCs w:val="0"/>
          <w:spacing w:val="-4"/>
          <w:sz w:val="24"/>
          <w:szCs w:val="24"/>
          <w:lang w:val="en-US" w:eastAsia="zh-CN" w:bidi="ar-SA"/>
        </w:rPr>
        <w:t xml:space="preserve">   </w:t>
      </w:r>
      <w:r>
        <w:rPr>
          <w:rFonts w:hint="eastAsia" w:ascii="黑体" w:hAnsi="黑体" w:eastAsia="黑体" w:cs="黑体"/>
          <w:b w:val="0"/>
          <w:bCs w:val="0"/>
          <w:spacing w:val="-4"/>
          <w:sz w:val="24"/>
          <w:szCs w:val="24"/>
          <w:lang w:val="zh-CN" w:eastAsia="en-US" w:bidi="ar-SA"/>
        </w:rPr>
        <w:t>期：</w:t>
      </w:r>
      <w:r>
        <w:rPr>
          <w:rFonts w:hint="eastAsia" w:ascii="黑体" w:hAnsi="黑体" w:cs="黑体"/>
          <w:b w:val="0"/>
          <w:bCs w:val="0"/>
          <w:spacing w:val="-4"/>
          <w:sz w:val="24"/>
          <w:szCs w:val="24"/>
          <w:lang w:val="en-US" w:eastAsia="zh-CN" w:bidi="ar-SA"/>
        </w:rPr>
        <w:t xml:space="preserve">  </w:t>
      </w:r>
      <w:r>
        <w:rPr>
          <w:rFonts w:hint="eastAsia" w:ascii="黑体" w:hAnsi="黑体" w:eastAsia="黑体" w:cs="黑体"/>
          <w:b w:val="0"/>
          <w:bCs w:val="0"/>
          <w:spacing w:val="-4"/>
          <w:sz w:val="24"/>
          <w:szCs w:val="24"/>
          <w:u w:val="single"/>
          <w:lang w:val="zh-CN" w:eastAsia="en-US" w:bidi="ar-SA"/>
        </w:rPr>
        <w:tab/>
      </w:r>
      <w:r>
        <w:rPr>
          <w:rFonts w:hint="eastAsia" w:ascii="黑体" w:hAnsi="黑体" w:cs="黑体"/>
          <w:b w:val="0"/>
          <w:bCs w:val="0"/>
          <w:spacing w:val="-4"/>
          <w:sz w:val="24"/>
          <w:szCs w:val="24"/>
          <w:u w:val="single"/>
          <w:lang w:val="en-US" w:eastAsia="zh-CN" w:bidi="ar-SA"/>
        </w:rPr>
        <w:t xml:space="preserve">   </w:t>
      </w:r>
      <w:r>
        <w:rPr>
          <w:rFonts w:hint="eastAsia" w:ascii="黑体" w:hAnsi="黑体" w:eastAsia="黑体" w:cs="黑体"/>
          <w:b w:val="0"/>
          <w:bCs w:val="0"/>
          <w:spacing w:val="-4"/>
          <w:sz w:val="24"/>
          <w:szCs w:val="24"/>
          <w:lang w:val="zh-CN" w:eastAsia="en-US" w:bidi="ar-SA"/>
        </w:rPr>
        <w:t>年</w:t>
      </w:r>
      <w:r>
        <w:rPr>
          <w:rFonts w:hint="eastAsia" w:ascii="黑体" w:hAnsi="黑体" w:eastAsia="黑体" w:cs="黑体"/>
          <w:b w:val="0"/>
          <w:bCs w:val="0"/>
          <w:spacing w:val="-4"/>
          <w:sz w:val="24"/>
          <w:szCs w:val="24"/>
          <w:u w:val="single"/>
          <w:lang w:val="zh-CN" w:eastAsia="en-US" w:bidi="ar-SA"/>
        </w:rPr>
        <w:tab/>
      </w:r>
      <w:r>
        <w:rPr>
          <w:rFonts w:hint="eastAsia" w:ascii="黑体" w:hAnsi="黑体" w:cs="黑体"/>
          <w:b w:val="0"/>
          <w:bCs w:val="0"/>
          <w:spacing w:val="-4"/>
          <w:sz w:val="24"/>
          <w:szCs w:val="24"/>
          <w:u w:val="single"/>
          <w:lang w:val="en-US" w:eastAsia="zh-CN" w:bidi="ar-SA"/>
        </w:rPr>
        <w:t xml:space="preserve">    </w:t>
      </w:r>
      <w:r>
        <w:rPr>
          <w:rFonts w:hint="eastAsia" w:ascii="黑体" w:hAnsi="黑体" w:eastAsia="黑体" w:cs="黑体"/>
          <w:b w:val="0"/>
          <w:bCs w:val="0"/>
          <w:spacing w:val="-4"/>
          <w:sz w:val="24"/>
          <w:szCs w:val="24"/>
          <w:lang w:val="zh-CN" w:eastAsia="en-US" w:bidi="ar-SA"/>
        </w:rPr>
        <w:t>月</w:t>
      </w:r>
      <w:r>
        <w:rPr>
          <w:rFonts w:hint="eastAsia" w:ascii="黑体" w:hAnsi="黑体" w:eastAsia="黑体" w:cs="黑体"/>
          <w:b w:val="0"/>
          <w:bCs w:val="0"/>
          <w:spacing w:val="-4"/>
          <w:sz w:val="24"/>
          <w:szCs w:val="24"/>
          <w:u w:val="single"/>
          <w:lang w:val="zh-CN" w:eastAsia="en-US" w:bidi="ar-SA"/>
        </w:rPr>
        <w:tab/>
      </w:r>
      <w:r>
        <w:rPr>
          <w:rFonts w:hint="eastAsia" w:ascii="黑体" w:hAnsi="黑体" w:cs="黑体"/>
          <w:b w:val="0"/>
          <w:bCs w:val="0"/>
          <w:spacing w:val="-4"/>
          <w:sz w:val="24"/>
          <w:szCs w:val="24"/>
          <w:u w:val="single"/>
          <w:lang w:val="en-US" w:eastAsia="zh-CN" w:bidi="ar-SA"/>
        </w:rPr>
        <w:t xml:space="preserve">    </w:t>
      </w:r>
      <w:r>
        <w:rPr>
          <w:rFonts w:hint="eastAsia" w:ascii="黑体" w:hAnsi="黑体" w:eastAsia="黑体" w:cs="黑体"/>
          <w:b w:val="0"/>
          <w:bCs w:val="0"/>
          <w:spacing w:val="-4"/>
          <w:sz w:val="24"/>
          <w:szCs w:val="24"/>
          <w:lang w:val="zh-CN" w:eastAsia="en-US" w:bidi="ar-SA"/>
        </w:rPr>
        <w:t>日</w:t>
      </w:r>
      <w:bookmarkEnd w:id="375"/>
    </w:p>
    <w:bookmarkEnd w:id="357"/>
    <w:bookmarkEnd w:id="358"/>
    <w:bookmarkEnd w:id="359"/>
    <w:p w14:paraId="2FD0423E">
      <w:pPr>
        <w:spacing w:line="360" w:lineRule="auto"/>
        <w:jc w:val="center"/>
        <w:rPr>
          <w:rFonts w:hint="eastAsia" w:ascii="黑体" w:hAnsi="黑体" w:eastAsia="黑体" w:cs="黑体"/>
          <w:b/>
          <w:bCs/>
          <w:sz w:val="24"/>
          <w:szCs w:val="24"/>
        </w:rPr>
      </w:pPr>
      <w:r>
        <w:rPr>
          <w:rFonts w:hint="eastAsia" w:ascii="黑体" w:hAnsi="黑体" w:eastAsia="黑体" w:cs="黑体"/>
          <w:b/>
          <w:bCs/>
          <w:sz w:val="36"/>
          <w:szCs w:val="36"/>
          <w:lang w:val="en-US" w:eastAsia="zh-CN"/>
        </w:rPr>
        <w:t>二、</w:t>
      </w:r>
      <w:r>
        <w:rPr>
          <w:rFonts w:hint="eastAsia" w:ascii="黑体" w:hAnsi="黑体" w:eastAsia="黑体" w:cs="黑体"/>
          <w:b/>
          <w:bCs/>
          <w:sz w:val="36"/>
          <w:szCs w:val="36"/>
        </w:rPr>
        <w:t>法定代表人身份证明</w:t>
      </w:r>
    </w:p>
    <w:p w14:paraId="5266B743">
      <w:pPr>
        <w:spacing w:line="360" w:lineRule="auto"/>
        <w:rPr>
          <w:rFonts w:hint="eastAsia" w:ascii="黑体" w:hAnsi="黑体" w:eastAsia="黑体" w:cs="黑体"/>
          <w:sz w:val="24"/>
          <w:szCs w:val="24"/>
        </w:rPr>
      </w:pPr>
    </w:p>
    <w:p w14:paraId="21F87D7A">
      <w:pPr>
        <w:spacing w:line="480" w:lineRule="auto"/>
        <w:ind w:firstLine="480" w:firstLineChars="200"/>
        <w:rPr>
          <w:rFonts w:hint="eastAsia" w:ascii="黑体" w:hAnsi="黑体" w:eastAsia="黑体" w:cs="黑体"/>
          <w:sz w:val="24"/>
          <w:szCs w:val="24"/>
          <w:u w:val="single"/>
          <w:lang w:val="en-US" w:eastAsia="zh-CN"/>
        </w:rPr>
      </w:pPr>
      <w:r>
        <w:rPr>
          <w:rFonts w:hint="eastAsia" w:ascii="黑体" w:hAnsi="黑体" w:eastAsia="黑体" w:cs="黑体"/>
          <w:sz w:val="24"/>
          <w:szCs w:val="24"/>
          <w:lang w:eastAsia="zh-CN"/>
        </w:rPr>
        <w:t>供应商</w:t>
      </w:r>
      <w:r>
        <w:rPr>
          <w:rFonts w:hint="eastAsia" w:ascii="黑体" w:hAnsi="黑体" w:eastAsia="黑体" w:cs="黑体"/>
          <w:sz w:val="24"/>
          <w:szCs w:val="24"/>
        </w:rPr>
        <w:t>名称：</w:t>
      </w:r>
      <w:r>
        <w:rPr>
          <w:rFonts w:hint="eastAsia" w:ascii="黑体" w:hAnsi="黑体" w:eastAsia="黑体" w:cs="黑体"/>
          <w:sz w:val="24"/>
          <w:szCs w:val="24"/>
          <w:u w:val="single"/>
          <w:lang w:val="en-US" w:eastAsia="zh-CN"/>
        </w:rPr>
        <w:t xml:space="preserve">                                     </w:t>
      </w:r>
    </w:p>
    <w:p w14:paraId="47CCD30B">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单位性质：</w:t>
      </w:r>
      <w:r>
        <w:rPr>
          <w:rFonts w:hint="eastAsia" w:ascii="黑体" w:hAnsi="黑体" w:eastAsia="黑体" w:cs="黑体"/>
          <w:sz w:val="24"/>
          <w:szCs w:val="24"/>
          <w:u w:val="single"/>
        </w:rPr>
        <w:t xml:space="preserve">                                    </w:t>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u w:val="single"/>
        </w:rPr>
        <w:t xml:space="preserve">  </w:t>
      </w:r>
    </w:p>
    <w:p w14:paraId="34CECAD7">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地址：</w:t>
      </w:r>
      <w:r>
        <w:rPr>
          <w:rFonts w:hint="eastAsia" w:ascii="黑体" w:hAnsi="黑体" w:eastAsia="黑体" w:cs="黑体"/>
          <w:sz w:val="24"/>
          <w:szCs w:val="24"/>
          <w:u w:val="single"/>
        </w:rPr>
        <w:t xml:space="preserve">                                           </w:t>
      </w:r>
    </w:p>
    <w:p w14:paraId="2C1CFA49">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成立时间：</w:t>
      </w:r>
      <w:r>
        <w:rPr>
          <w:rFonts w:hint="eastAsia" w:ascii="黑体" w:hAnsi="黑体" w:eastAsia="黑体" w:cs="黑体"/>
          <w:sz w:val="24"/>
          <w:szCs w:val="24"/>
          <w:u w:val="single"/>
        </w:rPr>
        <w:t xml:space="preserve">        </w:t>
      </w:r>
      <w:r>
        <w:rPr>
          <w:rFonts w:hint="eastAsia" w:ascii="黑体" w:hAnsi="黑体" w:eastAsia="黑体" w:cs="黑体"/>
          <w:sz w:val="24"/>
          <w:szCs w:val="24"/>
        </w:rPr>
        <w:t>年</w:t>
      </w:r>
      <w:r>
        <w:rPr>
          <w:rFonts w:hint="eastAsia" w:ascii="黑体" w:hAnsi="黑体" w:eastAsia="黑体" w:cs="黑体"/>
          <w:sz w:val="24"/>
          <w:szCs w:val="24"/>
          <w:u w:val="single"/>
        </w:rPr>
        <w:t xml:space="preserve">       </w:t>
      </w:r>
      <w:r>
        <w:rPr>
          <w:rFonts w:hint="eastAsia" w:ascii="黑体" w:hAnsi="黑体" w:eastAsia="黑体" w:cs="黑体"/>
          <w:sz w:val="24"/>
          <w:szCs w:val="24"/>
        </w:rPr>
        <w:t>月</w:t>
      </w:r>
      <w:r>
        <w:rPr>
          <w:rFonts w:hint="eastAsia" w:ascii="黑体" w:hAnsi="黑体" w:eastAsia="黑体" w:cs="黑体"/>
          <w:sz w:val="24"/>
          <w:szCs w:val="24"/>
          <w:u w:val="single"/>
        </w:rPr>
        <w:t xml:space="preserve">       </w:t>
      </w:r>
      <w:r>
        <w:rPr>
          <w:rFonts w:hint="eastAsia" w:ascii="黑体" w:hAnsi="黑体" w:eastAsia="黑体" w:cs="黑体"/>
          <w:sz w:val="24"/>
          <w:szCs w:val="24"/>
        </w:rPr>
        <w:t>日</w:t>
      </w:r>
    </w:p>
    <w:p w14:paraId="6B446A8B">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经营期限：</w:t>
      </w:r>
      <w:r>
        <w:rPr>
          <w:rFonts w:hint="eastAsia" w:ascii="黑体" w:hAnsi="黑体" w:eastAsia="黑体" w:cs="黑体"/>
          <w:sz w:val="24"/>
          <w:szCs w:val="24"/>
          <w:u w:val="single"/>
        </w:rPr>
        <w:t xml:space="preserve">                                                   </w:t>
      </w:r>
      <w:r>
        <w:rPr>
          <w:rFonts w:hint="eastAsia" w:ascii="黑体" w:hAnsi="黑体" w:eastAsia="黑体" w:cs="黑体"/>
          <w:sz w:val="24"/>
          <w:szCs w:val="24"/>
        </w:rPr>
        <w:t xml:space="preserve"> </w:t>
      </w:r>
    </w:p>
    <w:p w14:paraId="2A64CA24">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姓名：</w:t>
      </w:r>
      <w:r>
        <w:rPr>
          <w:rFonts w:hint="eastAsia" w:ascii="黑体" w:hAnsi="黑体" w:eastAsia="黑体" w:cs="黑体"/>
          <w:sz w:val="24"/>
          <w:szCs w:val="24"/>
          <w:u w:val="single"/>
        </w:rPr>
        <w:t xml:space="preserve">           </w:t>
      </w:r>
      <w:r>
        <w:rPr>
          <w:rFonts w:hint="eastAsia" w:ascii="黑体" w:hAnsi="黑体" w:eastAsia="黑体" w:cs="黑体"/>
          <w:sz w:val="24"/>
          <w:szCs w:val="24"/>
        </w:rPr>
        <w:t>性别：</w:t>
      </w:r>
      <w:r>
        <w:rPr>
          <w:rFonts w:hint="eastAsia" w:ascii="黑体" w:hAnsi="黑体" w:eastAsia="黑体" w:cs="黑体"/>
          <w:sz w:val="24"/>
          <w:szCs w:val="24"/>
          <w:u w:val="single"/>
        </w:rPr>
        <w:t xml:space="preserve">        </w:t>
      </w:r>
      <w:r>
        <w:rPr>
          <w:rFonts w:hint="eastAsia" w:ascii="黑体" w:hAnsi="黑体" w:eastAsia="黑体" w:cs="黑体"/>
          <w:sz w:val="24"/>
          <w:szCs w:val="24"/>
        </w:rPr>
        <w:t>年龄：</w:t>
      </w:r>
      <w:r>
        <w:rPr>
          <w:rFonts w:hint="eastAsia" w:ascii="黑体" w:hAnsi="黑体" w:eastAsia="黑体" w:cs="黑体"/>
          <w:sz w:val="24"/>
          <w:szCs w:val="24"/>
          <w:u w:val="single"/>
        </w:rPr>
        <w:t xml:space="preserve">        </w:t>
      </w:r>
      <w:r>
        <w:rPr>
          <w:rFonts w:hint="eastAsia" w:ascii="黑体" w:hAnsi="黑体" w:eastAsia="黑体" w:cs="黑体"/>
          <w:sz w:val="24"/>
          <w:szCs w:val="24"/>
        </w:rPr>
        <w:t>职务：</w:t>
      </w:r>
      <w:r>
        <w:rPr>
          <w:rFonts w:hint="eastAsia" w:ascii="黑体" w:hAnsi="黑体" w:eastAsia="黑体" w:cs="黑体"/>
          <w:sz w:val="24"/>
          <w:szCs w:val="24"/>
          <w:u w:val="single"/>
        </w:rPr>
        <w:t xml:space="preserve">          </w:t>
      </w:r>
    </w:p>
    <w:p w14:paraId="67EBAF8F">
      <w:pPr>
        <w:spacing w:line="48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系</w:t>
      </w:r>
      <w:r>
        <w:rPr>
          <w:rFonts w:hint="eastAsia" w:ascii="黑体" w:hAnsi="黑体" w:eastAsia="黑体" w:cs="黑体"/>
          <w:sz w:val="24"/>
          <w:szCs w:val="24"/>
          <w:u w:val="single"/>
        </w:rPr>
        <w:t xml:space="preserve">                                </w:t>
      </w:r>
      <w:r>
        <w:rPr>
          <w:rFonts w:hint="eastAsia" w:ascii="黑体" w:hAnsi="黑体" w:eastAsia="黑体" w:cs="黑体"/>
          <w:sz w:val="24"/>
          <w:szCs w:val="24"/>
        </w:rPr>
        <w:t>（</w:t>
      </w:r>
      <w:r>
        <w:rPr>
          <w:rFonts w:hint="eastAsia" w:ascii="黑体" w:hAnsi="黑体" w:eastAsia="黑体" w:cs="黑体"/>
          <w:sz w:val="24"/>
          <w:szCs w:val="24"/>
          <w:lang w:eastAsia="zh-CN"/>
        </w:rPr>
        <w:t>供应商</w:t>
      </w:r>
      <w:r>
        <w:rPr>
          <w:rFonts w:hint="eastAsia" w:ascii="黑体" w:hAnsi="黑体" w:eastAsia="黑体" w:cs="黑体"/>
          <w:sz w:val="24"/>
          <w:szCs w:val="24"/>
        </w:rPr>
        <w:t>名称）的法定代表人。</w:t>
      </w:r>
    </w:p>
    <w:p w14:paraId="3BA5764D">
      <w:pPr>
        <w:spacing w:line="360" w:lineRule="auto"/>
        <w:ind w:firstLine="960" w:firstLineChars="400"/>
        <w:rPr>
          <w:rFonts w:hint="eastAsia" w:ascii="黑体" w:hAnsi="黑体" w:eastAsia="黑体" w:cs="黑体"/>
          <w:sz w:val="24"/>
          <w:szCs w:val="24"/>
        </w:rPr>
      </w:pPr>
    </w:p>
    <w:p w14:paraId="21802EBD">
      <w:pPr>
        <w:spacing w:line="360" w:lineRule="auto"/>
        <w:ind w:firstLine="960" w:firstLineChars="400"/>
        <w:rPr>
          <w:rFonts w:hint="eastAsia" w:ascii="黑体" w:hAnsi="黑体" w:eastAsia="黑体" w:cs="黑体"/>
          <w:sz w:val="24"/>
          <w:szCs w:val="24"/>
        </w:rPr>
      </w:pPr>
      <w:r>
        <w:rPr>
          <w:rFonts w:hint="eastAsia" w:ascii="黑体" w:hAnsi="黑体" w:eastAsia="黑体" w:cs="黑体"/>
          <w:sz w:val="24"/>
          <w:szCs w:val="24"/>
        </w:rPr>
        <w:t>特此证明。</w:t>
      </w:r>
    </w:p>
    <w:p w14:paraId="646D0722">
      <w:pPr>
        <w:spacing w:line="240" w:lineRule="auto"/>
        <w:ind w:firstLine="0" w:firstLineChars="0"/>
        <w:rPr>
          <w:rFonts w:hint="eastAsia" w:ascii="黑体" w:hAnsi="黑体" w:eastAsia="黑体" w:cs="黑体"/>
          <w:sz w:val="24"/>
          <w:szCs w:val="24"/>
        </w:rPr>
      </w:pPr>
    </w:p>
    <w:p w14:paraId="01AB4284">
      <w:pPr>
        <w:spacing w:line="360" w:lineRule="auto"/>
        <w:ind w:firstLine="4800" w:firstLineChars="2000"/>
        <w:rPr>
          <w:rFonts w:hint="eastAsia" w:ascii="黑体" w:hAnsi="黑体" w:eastAsia="黑体" w:cs="黑体"/>
          <w:sz w:val="24"/>
          <w:szCs w:val="24"/>
        </w:rPr>
      </w:pPr>
    </w:p>
    <w:p w14:paraId="5AA83192">
      <w:pPr>
        <w:pStyle w:val="2"/>
        <w:rPr>
          <w:rFonts w:hint="eastAsia" w:ascii="黑体" w:hAnsi="黑体" w:eastAsia="黑体" w:cs="黑体"/>
          <w:sz w:val="24"/>
          <w:szCs w:val="24"/>
        </w:rPr>
      </w:pPr>
    </w:p>
    <w:p w14:paraId="126A0EA6">
      <w:pPr>
        <w:pStyle w:val="2"/>
        <w:rPr>
          <w:rFonts w:hint="eastAsia" w:ascii="黑体" w:hAnsi="黑体" w:eastAsia="黑体" w:cs="黑体"/>
          <w:sz w:val="24"/>
          <w:szCs w:val="24"/>
        </w:rPr>
      </w:pPr>
    </w:p>
    <w:p w14:paraId="5D135C0F">
      <w:pPr>
        <w:spacing w:line="360" w:lineRule="auto"/>
        <w:ind w:firstLine="4800" w:firstLineChars="2000"/>
        <w:rPr>
          <w:rFonts w:hint="eastAsia" w:ascii="黑体" w:hAnsi="黑体" w:eastAsia="黑体" w:cs="黑体"/>
          <w:sz w:val="24"/>
          <w:szCs w:val="24"/>
        </w:rPr>
      </w:pPr>
    </w:p>
    <w:p w14:paraId="45C772E5">
      <w:pPr>
        <w:spacing w:line="360" w:lineRule="auto"/>
        <w:ind w:firstLine="4800" w:firstLineChars="2000"/>
        <w:rPr>
          <w:rFonts w:hint="eastAsia" w:ascii="黑体" w:hAnsi="黑体" w:eastAsia="黑体" w:cs="黑体"/>
          <w:sz w:val="24"/>
          <w:szCs w:val="24"/>
        </w:rPr>
      </w:pPr>
    </w:p>
    <w:p w14:paraId="68F6E383">
      <w:pPr>
        <w:spacing w:line="360" w:lineRule="auto"/>
        <w:ind w:firstLine="3600" w:firstLineChars="1500"/>
        <w:jc w:val="right"/>
        <w:rPr>
          <w:rFonts w:hint="eastAsia" w:ascii="黑体" w:hAnsi="黑体" w:eastAsia="黑体" w:cs="黑体"/>
          <w:sz w:val="24"/>
          <w:szCs w:val="24"/>
        </w:rPr>
      </w:pPr>
      <w:r>
        <w:rPr>
          <w:rFonts w:hint="eastAsia" w:ascii="黑体" w:hAnsi="黑体" w:eastAsia="黑体" w:cs="黑体"/>
          <w:sz w:val="24"/>
          <w:szCs w:val="24"/>
          <w:lang w:eastAsia="zh-CN"/>
        </w:rPr>
        <w:t>供应商</w:t>
      </w:r>
      <w:r>
        <w:rPr>
          <w:rFonts w:hint="eastAsia" w:ascii="黑体" w:hAnsi="黑体" w:eastAsia="黑体" w:cs="黑体"/>
          <w:sz w:val="24"/>
          <w:szCs w:val="24"/>
        </w:rPr>
        <w:t>名称：</w:t>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rPr>
        <w:t>（公章）</w:t>
      </w:r>
    </w:p>
    <w:p w14:paraId="24611F53">
      <w:pPr>
        <w:spacing w:line="360" w:lineRule="auto"/>
        <w:ind w:firstLine="5160" w:firstLineChars="2150"/>
        <w:jc w:val="right"/>
        <w:rPr>
          <w:rFonts w:hint="eastAsia" w:ascii="黑体" w:hAnsi="黑体" w:eastAsia="黑体" w:cs="黑体"/>
          <w:sz w:val="24"/>
          <w:szCs w:val="24"/>
          <w:u w:val="single"/>
        </w:rPr>
      </w:pPr>
    </w:p>
    <w:p w14:paraId="74373780">
      <w:pPr>
        <w:spacing w:line="360" w:lineRule="auto"/>
        <w:ind w:firstLine="5040" w:firstLineChars="2100"/>
        <w:jc w:val="right"/>
        <w:rPr>
          <w:rFonts w:hint="eastAsia" w:ascii="黑体" w:hAnsi="黑体" w:eastAsia="黑体" w:cs="黑体"/>
          <w:sz w:val="24"/>
          <w:szCs w:val="24"/>
        </w:rPr>
      </w:pP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rPr>
        <w:t>年</w:t>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rPr>
        <w:t>月</w:t>
      </w:r>
      <w:r>
        <w:rPr>
          <w:rFonts w:hint="eastAsia" w:ascii="黑体" w:hAnsi="黑体" w:eastAsia="黑体" w:cs="黑体"/>
          <w:sz w:val="24"/>
          <w:szCs w:val="24"/>
          <w:u w:val="single"/>
          <w:lang w:val="en-US" w:eastAsia="zh-CN"/>
        </w:rPr>
        <w:t xml:space="preserve">     </w:t>
      </w:r>
      <w:r>
        <w:rPr>
          <w:rFonts w:hint="eastAsia" w:ascii="黑体" w:hAnsi="黑体" w:eastAsia="黑体" w:cs="黑体"/>
          <w:sz w:val="24"/>
          <w:szCs w:val="24"/>
        </w:rPr>
        <w:t>日</w:t>
      </w:r>
    </w:p>
    <w:p w14:paraId="5A83F52F">
      <w:pPr>
        <w:spacing w:line="360" w:lineRule="auto"/>
        <w:rPr>
          <w:rFonts w:hint="eastAsia" w:ascii="黑体" w:hAnsi="黑体" w:eastAsia="黑体" w:cs="黑体"/>
          <w:sz w:val="24"/>
          <w:szCs w:val="24"/>
        </w:rPr>
      </w:pPr>
    </w:p>
    <w:p w14:paraId="08F38F9B">
      <w:pPr>
        <w:pStyle w:val="2"/>
        <w:rPr>
          <w:rFonts w:hint="eastAsia" w:ascii="黑体" w:hAnsi="黑体" w:eastAsia="黑体" w:cs="黑体"/>
          <w:b/>
        </w:rPr>
      </w:pPr>
    </w:p>
    <w:p w14:paraId="05E06979">
      <w:pPr>
        <w:pStyle w:val="2"/>
        <w:rPr>
          <w:rFonts w:hint="eastAsia" w:ascii="黑体" w:hAnsi="黑体" w:eastAsia="黑体" w:cs="黑体"/>
          <w:b/>
        </w:rPr>
      </w:pPr>
    </w:p>
    <w:p w14:paraId="1EB48808">
      <w:pPr>
        <w:pStyle w:val="2"/>
        <w:rPr>
          <w:rFonts w:hint="eastAsia" w:ascii="黑体" w:hAnsi="黑体" w:eastAsia="黑体" w:cs="黑体"/>
          <w:b/>
        </w:rPr>
      </w:pPr>
    </w:p>
    <w:p w14:paraId="4F2A1C05">
      <w:pPr>
        <w:rPr>
          <w:rFonts w:hint="eastAsia" w:ascii="黑体" w:hAnsi="黑体" w:eastAsia="黑体" w:cs="黑体"/>
          <w:b/>
        </w:rPr>
      </w:pPr>
      <w:r>
        <w:rPr>
          <w:rFonts w:hint="eastAsia" w:ascii="黑体" w:hAnsi="黑体" w:eastAsia="黑体" w:cs="黑体"/>
          <w:b/>
        </w:rPr>
        <w:br w:type="page"/>
      </w:r>
    </w:p>
    <w:p w14:paraId="57EFEE77">
      <w:pPr>
        <w:ind w:right="57"/>
        <w:jc w:val="center"/>
        <w:rPr>
          <w:rFonts w:hint="eastAsia" w:ascii="黑体" w:hAnsi="黑体" w:eastAsia="黑体" w:cs="黑体"/>
          <w:b/>
          <w:sz w:val="36"/>
          <w:szCs w:val="36"/>
        </w:rPr>
      </w:pPr>
      <w:r>
        <w:rPr>
          <w:rFonts w:hint="eastAsia" w:ascii="黑体" w:hAnsi="黑体" w:eastAsia="黑体" w:cs="黑体"/>
          <w:b/>
          <w:sz w:val="36"/>
          <w:szCs w:val="36"/>
          <w:lang w:val="en-US" w:eastAsia="zh-CN"/>
        </w:rPr>
        <w:t>三、</w:t>
      </w:r>
      <w:r>
        <w:rPr>
          <w:rFonts w:hint="eastAsia" w:ascii="黑体" w:hAnsi="黑体" w:eastAsia="黑体" w:cs="黑体"/>
          <w:b/>
          <w:sz w:val="36"/>
          <w:szCs w:val="36"/>
        </w:rPr>
        <w:t xml:space="preserve"> 法定代表人授权委托书</w:t>
      </w:r>
    </w:p>
    <w:p w14:paraId="509B5E0B">
      <w:pPr>
        <w:spacing w:line="480" w:lineRule="exact"/>
        <w:ind w:firstLine="630" w:firstLineChars="300"/>
        <w:rPr>
          <w:rFonts w:hint="eastAsia" w:ascii="黑体" w:hAnsi="黑体" w:eastAsia="黑体" w:cs="黑体"/>
        </w:rPr>
      </w:pPr>
    </w:p>
    <w:p w14:paraId="3C6B678E">
      <w:pPr>
        <w:topLinePunct/>
        <w:spacing w:line="480" w:lineRule="auto"/>
        <w:ind w:firstLine="480" w:firstLineChars="200"/>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本人</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（姓名）系</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u w:val="single"/>
          <w:lang w:val="en-US" w:eastAsia="zh-CN"/>
        </w:rPr>
        <w:t xml:space="preserve">    </w:t>
      </w:r>
      <w:r>
        <w:rPr>
          <w:rFonts w:hint="eastAsia" w:ascii="黑体" w:hAnsi="黑体" w:eastAsia="黑体" w:cs="黑体"/>
          <w:b w:val="0"/>
          <w:bCs/>
          <w:sz w:val="24"/>
          <w:szCs w:val="24"/>
          <w:highlight w:val="none"/>
        </w:rPr>
        <w:t>（</w:t>
      </w:r>
      <w:r>
        <w:rPr>
          <w:rFonts w:hint="eastAsia" w:ascii="黑体" w:hAnsi="黑体" w:eastAsia="黑体" w:cs="黑体"/>
          <w:b w:val="0"/>
          <w:bCs/>
          <w:sz w:val="24"/>
          <w:szCs w:val="24"/>
          <w:highlight w:val="none"/>
          <w:lang w:val="en-US" w:eastAsia="zh-CN"/>
        </w:rPr>
        <w:t>供应商</w:t>
      </w:r>
      <w:r>
        <w:rPr>
          <w:rFonts w:hint="eastAsia" w:ascii="黑体" w:hAnsi="黑体" w:eastAsia="黑体" w:cs="黑体"/>
          <w:b w:val="0"/>
          <w:bCs/>
          <w:sz w:val="24"/>
          <w:szCs w:val="24"/>
          <w:highlight w:val="none"/>
        </w:rPr>
        <w:t>名称）的法定代表人，现委托</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（姓名）为我方代理人。代理人根据授权，以我方名义签署、澄清确认、递交、撤回、修改</w:t>
      </w:r>
      <w:r>
        <w:rPr>
          <w:rFonts w:hint="eastAsia" w:ascii="黑体" w:hAnsi="黑体" w:eastAsia="黑体" w:cs="黑体"/>
          <w:b w:val="0"/>
          <w:bCs/>
          <w:sz w:val="24"/>
          <w:szCs w:val="24"/>
          <w:highlight w:val="none"/>
          <w:lang w:eastAsia="zh-CN"/>
        </w:rPr>
        <w:t>项目投标</w:t>
      </w:r>
      <w:r>
        <w:rPr>
          <w:rFonts w:hint="eastAsia" w:ascii="黑体" w:hAnsi="黑体" w:eastAsia="黑体" w:cs="黑体"/>
          <w:b w:val="0"/>
          <w:bCs/>
          <w:sz w:val="24"/>
          <w:szCs w:val="24"/>
          <w:highlight w:val="none"/>
        </w:rPr>
        <w:t>文件、签订合同和处理有关事宜，其法律后果由我方承担。</w:t>
      </w:r>
    </w:p>
    <w:p w14:paraId="77517770">
      <w:pPr>
        <w:spacing w:line="480" w:lineRule="auto"/>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委托期限：</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w:t>
      </w:r>
    </w:p>
    <w:p w14:paraId="68804039">
      <w:pPr>
        <w:spacing w:line="480" w:lineRule="auto"/>
        <w:ind w:firstLine="480" w:firstLineChars="200"/>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代理人无转委托权。</w:t>
      </w:r>
    </w:p>
    <w:p w14:paraId="32C71D39">
      <w:pPr>
        <w:spacing w:line="440" w:lineRule="exact"/>
        <w:ind w:firstLine="480" w:firstLineChars="200"/>
        <w:jc w:val="both"/>
        <w:rPr>
          <w:rFonts w:hint="eastAsia" w:ascii="黑体" w:hAnsi="黑体" w:eastAsia="黑体" w:cs="黑体"/>
          <w:b w:val="0"/>
          <w:bCs/>
          <w:sz w:val="24"/>
          <w:szCs w:val="24"/>
          <w:highlight w:val="none"/>
        </w:rPr>
      </w:pPr>
    </w:p>
    <w:p w14:paraId="395EE153">
      <w:pPr>
        <w:spacing w:line="440" w:lineRule="exact"/>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附：法定代表人身份证复印件和授权委托人身份证复印件</w:t>
      </w:r>
    </w:p>
    <w:p w14:paraId="5461C6FC">
      <w:pPr>
        <w:spacing w:line="440" w:lineRule="exact"/>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4FF70705">
      <w:pPr>
        <w:spacing w:line="440" w:lineRule="exact"/>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注：本授权委托书需由</w:t>
      </w:r>
      <w:r>
        <w:rPr>
          <w:rFonts w:hint="eastAsia" w:ascii="黑体" w:hAnsi="黑体" w:eastAsia="黑体" w:cs="黑体"/>
          <w:b w:val="0"/>
          <w:bCs/>
          <w:sz w:val="24"/>
          <w:szCs w:val="24"/>
          <w:highlight w:val="none"/>
          <w:lang w:val="en-US" w:eastAsia="zh-CN"/>
        </w:rPr>
        <w:t>供应商</w:t>
      </w:r>
      <w:r>
        <w:rPr>
          <w:rFonts w:hint="eastAsia" w:ascii="黑体" w:hAnsi="黑体" w:eastAsia="黑体" w:cs="黑体"/>
          <w:b w:val="0"/>
          <w:bCs/>
          <w:sz w:val="24"/>
          <w:szCs w:val="24"/>
          <w:highlight w:val="none"/>
        </w:rPr>
        <w:t>加盖单位公章并由其法定代表人和委托代理人签字。</w:t>
      </w:r>
    </w:p>
    <w:p w14:paraId="1C507941">
      <w:pPr>
        <w:spacing w:line="440" w:lineRule="exact"/>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10EDFB56">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75F00D39">
      <w:pPr>
        <w:spacing w:line="240" w:lineRule="auto"/>
        <w:jc w:val="left"/>
        <w:rPr>
          <w:rFonts w:hint="eastAsia" w:ascii="黑体" w:hAnsi="黑体" w:eastAsia="黑体" w:cs="黑体"/>
          <w:b w:val="0"/>
          <w:bCs/>
          <w:sz w:val="24"/>
          <w:szCs w:val="24"/>
          <w:highlight w:val="none"/>
        </w:rPr>
      </w:pPr>
    </w:p>
    <w:p w14:paraId="7EFE3FBC">
      <w:pPr>
        <w:spacing w:line="240" w:lineRule="auto"/>
        <w:jc w:val="left"/>
        <w:rPr>
          <w:rFonts w:hint="eastAsia" w:ascii="黑体" w:hAnsi="黑体" w:eastAsia="黑体" w:cs="黑体"/>
          <w:b w:val="0"/>
          <w:bCs/>
          <w:sz w:val="24"/>
          <w:szCs w:val="24"/>
          <w:highlight w:val="none"/>
        </w:rPr>
      </w:pPr>
    </w:p>
    <w:p w14:paraId="63E66EBC">
      <w:pPr>
        <w:spacing w:line="240" w:lineRule="auto"/>
        <w:jc w:val="left"/>
        <w:rPr>
          <w:rFonts w:hint="eastAsia" w:ascii="黑体" w:hAnsi="黑体" w:eastAsia="黑体" w:cs="黑体"/>
          <w:b w:val="0"/>
          <w:bCs/>
          <w:sz w:val="24"/>
          <w:szCs w:val="24"/>
          <w:highlight w:val="none"/>
        </w:rPr>
      </w:pPr>
    </w:p>
    <w:p w14:paraId="503A5488">
      <w:pPr>
        <w:spacing w:line="240" w:lineRule="auto"/>
        <w:jc w:val="left"/>
        <w:rPr>
          <w:rFonts w:hint="eastAsia" w:ascii="黑体" w:hAnsi="黑体" w:eastAsia="黑体" w:cs="黑体"/>
          <w:b w:val="0"/>
          <w:bCs/>
          <w:sz w:val="24"/>
          <w:szCs w:val="24"/>
          <w:highlight w:val="none"/>
        </w:rPr>
      </w:pPr>
    </w:p>
    <w:p w14:paraId="0BADA0CE">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r>
        <w:rPr>
          <w:rFonts w:hint="eastAsia" w:ascii="黑体" w:hAnsi="黑体" w:eastAsia="黑体" w:cs="黑体"/>
          <w:b w:val="0"/>
          <w:bCs/>
          <w:sz w:val="24"/>
          <w:szCs w:val="24"/>
          <w:highlight w:val="none"/>
          <w:lang w:val="en-US" w:eastAsia="zh-CN"/>
        </w:rPr>
        <w:t xml:space="preserve"> </w:t>
      </w:r>
      <w:r>
        <w:rPr>
          <w:rFonts w:hint="eastAsia" w:ascii="黑体" w:hAnsi="黑体" w:eastAsia="黑体" w:cs="黑体"/>
          <w:b w:val="0"/>
          <w:bCs/>
          <w:sz w:val="24"/>
          <w:szCs w:val="24"/>
          <w:highlight w:val="none"/>
          <w:lang w:eastAsia="zh-CN"/>
        </w:rPr>
        <w:t>竞</w:t>
      </w:r>
      <w:r>
        <w:rPr>
          <w:rFonts w:hint="eastAsia" w:ascii="黑体" w:hAnsi="黑体" w:eastAsia="黑体" w:cs="黑体"/>
          <w:b w:val="0"/>
          <w:bCs/>
          <w:sz w:val="24"/>
          <w:szCs w:val="24"/>
          <w:highlight w:val="none"/>
          <w:lang w:val="en-US" w:eastAsia="zh-CN"/>
        </w:rPr>
        <w:t xml:space="preserve">  </w:t>
      </w:r>
      <w:r>
        <w:rPr>
          <w:rFonts w:hint="eastAsia" w:ascii="黑体" w:hAnsi="黑体" w:eastAsia="黑体" w:cs="黑体"/>
          <w:b w:val="0"/>
          <w:bCs/>
          <w:sz w:val="24"/>
          <w:szCs w:val="24"/>
          <w:highlight w:val="none"/>
          <w:lang w:eastAsia="zh-CN"/>
        </w:rPr>
        <w:t>标</w:t>
      </w:r>
      <w:r>
        <w:rPr>
          <w:rFonts w:hint="eastAsia" w:ascii="黑体" w:hAnsi="黑体" w:eastAsia="黑体" w:cs="黑体"/>
          <w:b w:val="0"/>
          <w:bCs/>
          <w:sz w:val="24"/>
          <w:szCs w:val="24"/>
          <w:highlight w:val="none"/>
          <w:lang w:val="en-US" w:eastAsia="zh-CN"/>
        </w:rPr>
        <w:t xml:space="preserve">  </w:t>
      </w:r>
      <w:r>
        <w:rPr>
          <w:rFonts w:hint="eastAsia" w:ascii="黑体" w:hAnsi="黑体" w:eastAsia="黑体" w:cs="黑体"/>
          <w:b w:val="0"/>
          <w:bCs/>
          <w:sz w:val="24"/>
          <w:szCs w:val="24"/>
          <w:highlight w:val="none"/>
        </w:rPr>
        <w:t>人：</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（盖单位章）</w:t>
      </w:r>
    </w:p>
    <w:p w14:paraId="69152341">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1958DEF6">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r>
        <w:rPr>
          <w:rFonts w:hint="eastAsia" w:ascii="黑体" w:hAnsi="黑体" w:eastAsia="黑体" w:cs="黑体"/>
          <w:b w:val="0"/>
          <w:bCs/>
          <w:sz w:val="24"/>
          <w:szCs w:val="24"/>
          <w:highlight w:val="none"/>
          <w:lang w:val="en-US" w:eastAsia="zh-CN"/>
        </w:rPr>
        <w:t xml:space="preserve"> </w:t>
      </w:r>
      <w:r>
        <w:rPr>
          <w:rFonts w:hint="eastAsia" w:ascii="黑体" w:hAnsi="黑体" w:eastAsia="黑体" w:cs="黑体"/>
          <w:b w:val="0"/>
          <w:bCs/>
          <w:sz w:val="24"/>
          <w:szCs w:val="24"/>
          <w:highlight w:val="none"/>
        </w:rPr>
        <w:t>法定代表人：</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（签字）</w:t>
      </w:r>
    </w:p>
    <w:p w14:paraId="4747D373">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54D24B80">
      <w:pPr>
        <w:spacing w:line="240" w:lineRule="auto"/>
        <w:ind w:firstLine="240" w:firstLineChars="100"/>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身份证号码：</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u w:val="none"/>
        </w:rPr>
        <w:t xml:space="preserve">                                   </w:t>
      </w:r>
      <w:r>
        <w:rPr>
          <w:rFonts w:hint="eastAsia" w:ascii="黑体" w:hAnsi="黑体" w:eastAsia="黑体" w:cs="黑体"/>
          <w:b w:val="0"/>
          <w:bCs/>
          <w:sz w:val="24"/>
          <w:szCs w:val="24"/>
          <w:highlight w:val="none"/>
          <w:u w:val="single"/>
        </w:rPr>
        <w:t xml:space="preserve">                                  </w:t>
      </w:r>
    </w:p>
    <w:p w14:paraId="3722EA92">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1EA298B7">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委托代理人：</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 xml:space="preserve">（签字） </w:t>
      </w:r>
    </w:p>
    <w:p w14:paraId="015D5581">
      <w:pPr>
        <w:spacing w:line="240" w:lineRule="auto"/>
        <w:jc w:val="left"/>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t xml:space="preserve"> </w:t>
      </w:r>
    </w:p>
    <w:p w14:paraId="2A97B38A">
      <w:pPr>
        <w:spacing w:line="240" w:lineRule="auto"/>
        <w:ind w:firstLine="240" w:firstLineChars="100"/>
        <w:jc w:val="left"/>
        <w:rPr>
          <w:rFonts w:hint="eastAsia" w:ascii="黑体" w:hAnsi="黑体" w:eastAsia="黑体" w:cs="黑体"/>
          <w:sz w:val="24"/>
          <w:szCs w:val="24"/>
          <w:highlight w:val="none"/>
          <w:u w:val="none"/>
        </w:rPr>
      </w:pPr>
      <w:r>
        <w:rPr>
          <w:rFonts w:hint="eastAsia" w:ascii="黑体" w:hAnsi="黑体" w:eastAsia="黑体" w:cs="黑体"/>
          <w:b w:val="0"/>
          <w:bCs/>
          <w:sz w:val="24"/>
          <w:szCs w:val="24"/>
          <w:highlight w:val="none"/>
        </w:rPr>
        <w:t>身份证号码：</w:t>
      </w:r>
      <w:r>
        <w:rPr>
          <w:rFonts w:hint="eastAsia" w:ascii="黑体" w:hAnsi="黑体" w:eastAsia="黑体" w:cs="黑体"/>
          <w:b w:val="0"/>
          <w:bCs/>
          <w:sz w:val="21"/>
          <w:szCs w:val="21"/>
          <w:highlight w:val="none"/>
          <w:u w:val="single"/>
        </w:rPr>
        <w:t xml:space="preserve">                                    </w:t>
      </w:r>
      <w:r>
        <w:rPr>
          <w:rFonts w:hint="eastAsia" w:ascii="黑体" w:hAnsi="黑体" w:eastAsia="黑体" w:cs="黑体"/>
          <w:b w:val="0"/>
          <w:bCs/>
          <w:sz w:val="24"/>
          <w:szCs w:val="24"/>
          <w:highlight w:val="none"/>
          <w:u w:val="single"/>
        </w:rPr>
        <w:t xml:space="preserve">    </w:t>
      </w:r>
    </w:p>
    <w:p w14:paraId="206A01AE">
      <w:pPr>
        <w:spacing w:line="240" w:lineRule="auto"/>
        <w:jc w:val="left"/>
        <w:rPr>
          <w:rFonts w:hint="eastAsia" w:ascii="黑体" w:hAnsi="黑体" w:eastAsia="黑体" w:cs="黑体"/>
          <w:sz w:val="24"/>
          <w:szCs w:val="24"/>
          <w:highlight w:val="none"/>
        </w:rPr>
      </w:pPr>
      <w:r>
        <w:rPr>
          <w:rFonts w:hint="eastAsia" w:ascii="黑体" w:hAnsi="黑体" w:eastAsia="黑体" w:cs="黑体"/>
          <w:sz w:val="24"/>
          <w:szCs w:val="24"/>
          <w:highlight w:val="none"/>
        </w:rPr>
        <w:t xml:space="preserve"> </w:t>
      </w:r>
    </w:p>
    <w:p w14:paraId="4E8039E3">
      <w:pPr>
        <w:spacing w:line="440" w:lineRule="exact"/>
        <w:ind w:firstLine="4920" w:firstLineChars="2050"/>
        <w:jc w:val="both"/>
        <w:rPr>
          <w:rFonts w:hint="eastAsia" w:ascii="黑体" w:hAnsi="黑体" w:eastAsia="黑体" w:cs="黑体"/>
          <w:b w:val="0"/>
          <w:bCs/>
          <w:sz w:val="24"/>
          <w:szCs w:val="24"/>
          <w:highlight w:val="none"/>
          <w:u w:val="single"/>
        </w:rPr>
      </w:pPr>
    </w:p>
    <w:p w14:paraId="21CFC84E">
      <w:pPr>
        <w:spacing w:line="440" w:lineRule="exact"/>
        <w:ind w:firstLine="4920" w:firstLineChars="2050"/>
        <w:jc w:val="both"/>
        <w:rPr>
          <w:rFonts w:hint="eastAsia" w:ascii="黑体" w:hAnsi="黑体" w:eastAsia="黑体" w:cs="黑体"/>
          <w:b w:val="0"/>
          <w:bCs/>
          <w:sz w:val="24"/>
          <w:szCs w:val="24"/>
          <w:highlight w:val="none"/>
          <w:u w:val="single"/>
        </w:rPr>
      </w:pPr>
    </w:p>
    <w:p w14:paraId="0843EC03">
      <w:pPr>
        <w:spacing w:line="440" w:lineRule="exact"/>
        <w:ind w:firstLine="5400" w:firstLineChars="2250"/>
        <w:jc w:val="both"/>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年</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月</w:t>
      </w:r>
      <w:r>
        <w:rPr>
          <w:rFonts w:hint="eastAsia" w:ascii="黑体" w:hAnsi="黑体" w:eastAsia="黑体" w:cs="黑体"/>
          <w:b w:val="0"/>
          <w:bCs/>
          <w:sz w:val="24"/>
          <w:szCs w:val="24"/>
          <w:highlight w:val="none"/>
          <w:u w:val="single"/>
        </w:rPr>
        <w:t xml:space="preserve">       </w:t>
      </w:r>
      <w:r>
        <w:rPr>
          <w:rFonts w:hint="eastAsia" w:ascii="黑体" w:hAnsi="黑体" w:eastAsia="黑体" w:cs="黑体"/>
          <w:b w:val="0"/>
          <w:bCs/>
          <w:sz w:val="24"/>
          <w:szCs w:val="24"/>
          <w:highlight w:val="none"/>
        </w:rPr>
        <w:t>日</w:t>
      </w:r>
    </w:p>
    <w:p w14:paraId="620B144A">
      <w:pPr>
        <w:rPr>
          <w:rFonts w:hint="eastAsia" w:ascii="黑体" w:hAnsi="黑体" w:eastAsia="黑体" w:cs="黑体"/>
          <w:b w:val="0"/>
          <w:bCs/>
          <w:sz w:val="24"/>
          <w:szCs w:val="24"/>
          <w:highlight w:val="none"/>
        </w:rPr>
      </w:pPr>
      <w:r>
        <w:rPr>
          <w:rFonts w:hint="eastAsia" w:ascii="黑体" w:hAnsi="黑体" w:eastAsia="黑体" w:cs="黑体"/>
          <w:b w:val="0"/>
          <w:bCs/>
          <w:sz w:val="24"/>
          <w:szCs w:val="24"/>
          <w:highlight w:val="none"/>
        </w:rPr>
        <w:br w:type="page"/>
      </w:r>
    </w:p>
    <w:tbl>
      <w:tblPr>
        <w:tblStyle w:val="39"/>
        <w:tblpPr w:leftFromText="180" w:rightFromText="180" w:vertAnchor="text" w:horzAnchor="page" w:tblpX="1454" w:tblpY="1550"/>
        <w:tblOverlap w:val="never"/>
        <w:tblW w:w="9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000"/>
        <w:gridCol w:w="1054"/>
        <w:gridCol w:w="2660"/>
        <w:gridCol w:w="1304"/>
        <w:gridCol w:w="1375"/>
        <w:gridCol w:w="1653"/>
      </w:tblGrid>
      <w:tr w14:paraId="4FC50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870" w:type="dxa"/>
            <w:vAlign w:val="center"/>
          </w:tcPr>
          <w:p w14:paraId="1D3B9931">
            <w:pPr>
              <w:jc w:val="center"/>
              <w:rPr>
                <w:rFonts w:hint="eastAsia" w:ascii="黑体" w:hAnsi="黑体" w:eastAsia="黑体" w:cs="黑体"/>
                <w:szCs w:val="28"/>
              </w:rPr>
            </w:pPr>
            <w:r>
              <w:rPr>
                <w:rFonts w:hint="eastAsia" w:ascii="黑体" w:hAnsi="黑体" w:eastAsia="黑体" w:cs="黑体"/>
                <w:szCs w:val="28"/>
              </w:rPr>
              <w:t>编号</w:t>
            </w:r>
          </w:p>
        </w:tc>
        <w:tc>
          <w:tcPr>
            <w:tcW w:w="1000" w:type="dxa"/>
            <w:vAlign w:val="center"/>
          </w:tcPr>
          <w:p w14:paraId="07C67298">
            <w:pPr>
              <w:jc w:val="center"/>
              <w:rPr>
                <w:rFonts w:hint="eastAsia" w:ascii="黑体" w:hAnsi="黑体" w:eastAsia="黑体" w:cs="黑体"/>
                <w:szCs w:val="28"/>
              </w:rPr>
            </w:pPr>
            <w:r>
              <w:rPr>
                <w:rFonts w:hint="eastAsia" w:ascii="黑体" w:hAnsi="黑体" w:eastAsia="黑体" w:cs="黑体"/>
                <w:szCs w:val="28"/>
              </w:rPr>
              <w:t>货物</w:t>
            </w:r>
          </w:p>
          <w:p w14:paraId="5DE012F1">
            <w:pPr>
              <w:jc w:val="center"/>
              <w:rPr>
                <w:rFonts w:hint="eastAsia" w:ascii="黑体" w:hAnsi="黑体" w:eastAsia="黑体" w:cs="黑体"/>
                <w:szCs w:val="28"/>
              </w:rPr>
            </w:pPr>
            <w:r>
              <w:rPr>
                <w:rFonts w:hint="eastAsia" w:ascii="黑体" w:hAnsi="黑体" w:eastAsia="黑体" w:cs="黑体"/>
                <w:szCs w:val="28"/>
              </w:rPr>
              <w:t>名称</w:t>
            </w:r>
          </w:p>
        </w:tc>
        <w:tc>
          <w:tcPr>
            <w:tcW w:w="1054" w:type="dxa"/>
            <w:vAlign w:val="center"/>
          </w:tcPr>
          <w:p w14:paraId="4FE55320">
            <w:pPr>
              <w:jc w:val="center"/>
              <w:rPr>
                <w:rFonts w:hint="eastAsia" w:ascii="黑体" w:hAnsi="黑体" w:eastAsia="黑体" w:cs="黑体"/>
                <w:szCs w:val="28"/>
                <w:lang w:val="en-US" w:eastAsia="zh-CN"/>
              </w:rPr>
            </w:pPr>
            <w:r>
              <w:rPr>
                <w:rFonts w:hint="eastAsia" w:ascii="黑体" w:hAnsi="黑体" w:eastAsia="黑体" w:cs="黑体"/>
                <w:szCs w:val="28"/>
                <w:lang w:val="en-US" w:eastAsia="zh-CN"/>
              </w:rPr>
              <w:t>型号</w:t>
            </w:r>
          </w:p>
        </w:tc>
        <w:tc>
          <w:tcPr>
            <w:tcW w:w="2660" w:type="dxa"/>
            <w:vAlign w:val="center"/>
          </w:tcPr>
          <w:p w14:paraId="48A1A503">
            <w:pPr>
              <w:jc w:val="center"/>
              <w:rPr>
                <w:rFonts w:hint="eastAsia" w:ascii="黑体" w:hAnsi="黑体" w:eastAsia="黑体" w:cs="黑体"/>
                <w:szCs w:val="28"/>
              </w:rPr>
            </w:pPr>
            <w:r>
              <w:rPr>
                <w:rFonts w:hint="eastAsia" w:ascii="黑体" w:hAnsi="黑体" w:eastAsia="黑体" w:cs="黑体"/>
                <w:szCs w:val="28"/>
              </w:rPr>
              <w:t>技术参数、性能指标</w:t>
            </w:r>
          </w:p>
        </w:tc>
        <w:tc>
          <w:tcPr>
            <w:tcW w:w="1304" w:type="dxa"/>
            <w:vAlign w:val="center"/>
          </w:tcPr>
          <w:p w14:paraId="2BD3D718">
            <w:pPr>
              <w:jc w:val="center"/>
              <w:rPr>
                <w:rFonts w:hint="eastAsia" w:ascii="黑体" w:hAnsi="黑体" w:eastAsia="黑体" w:cs="黑体"/>
                <w:szCs w:val="28"/>
                <w:lang w:val="en-US" w:eastAsia="zh-CN"/>
              </w:rPr>
            </w:pPr>
            <w:r>
              <w:rPr>
                <w:rFonts w:hint="eastAsia" w:ascii="黑体" w:hAnsi="黑体" w:eastAsia="黑体" w:cs="黑体"/>
                <w:szCs w:val="28"/>
                <w:lang w:val="en-US" w:eastAsia="zh-CN"/>
              </w:rPr>
              <w:t>数量</w:t>
            </w:r>
          </w:p>
        </w:tc>
        <w:tc>
          <w:tcPr>
            <w:tcW w:w="1375" w:type="dxa"/>
            <w:vAlign w:val="center"/>
          </w:tcPr>
          <w:p w14:paraId="67925B27">
            <w:pPr>
              <w:jc w:val="center"/>
              <w:rPr>
                <w:rFonts w:hint="eastAsia" w:ascii="黑体" w:hAnsi="黑体" w:eastAsia="黑体" w:cs="黑体"/>
                <w:szCs w:val="28"/>
                <w:lang w:val="en-US" w:eastAsia="zh-CN"/>
              </w:rPr>
            </w:pPr>
            <w:r>
              <w:rPr>
                <w:rFonts w:hint="eastAsia" w:ascii="黑体" w:hAnsi="黑体" w:eastAsia="黑体" w:cs="黑体"/>
                <w:szCs w:val="28"/>
                <w:lang w:val="en-US" w:eastAsia="zh-CN"/>
              </w:rPr>
              <w:t>单价（元）</w:t>
            </w:r>
          </w:p>
        </w:tc>
        <w:tc>
          <w:tcPr>
            <w:tcW w:w="1653" w:type="dxa"/>
            <w:vAlign w:val="center"/>
          </w:tcPr>
          <w:p w14:paraId="1555DE85">
            <w:pPr>
              <w:jc w:val="center"/>
              <w:rPr>
                <w:rFonts w:hint="eastAsia" w:ascii="黑体" w:hAnsi="黑体" w:eastAsia="黑体" w:cs="黑体"/>
                <w:szCs w:val="28"/>
                <w:lang w:val="en-US" w:eastAsia="zh-CN"/>
              </w:rPr>
            </w:pPr>
            <w:r>
              <w:rPr>
                <w:rFonts w:hint="eastAsia" w:ascii="黑体" w:hAnsi="黑体" w:eastAsia="黑体" w:cs="黑体"/>
                <w:szCs w:val="28"/>
                <w:lang w:val="en-US" w:eastAsia="zh-CN"/>
              </w:rPr>
              <w:t>合计（元）</w:t>
            </w:r>
          </w:p>
        </w:tc>
      </w:tr>
      <w:tr w14:paraId="45D9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70" w:type="dxa"/>
            <w:vAlign w:val="center"/>
          </w:tcPr>
          <w:p w14:paraId="1EE42CB1">
            <w:pPr>
              <w:spacing w:line="720" w:lineRule="auto"/>
              <w:jc w:val="center"/>
              <w:rPr>
                <w:rFonts w:hint="eastAsia" w:ascii="黑体" w:hAnsi="黑体" w:eastAsia="黑体" w:cs="黑体"/>
                <w:szCs w:val="28"/>
                <w:lang w:val="en-US" w:eastAsia="zh-CN"/>
              </w:rPr>
            </w:pPr>
            <w:r>
              <w:rPr>
                <w:rFonts w:hint="eastAsia" w:ascii="黑体" w:hAnsi="黑体" w:eastAsia="黑体" w:cs="黑体"/>
                <w:szCs w:val="28"/>
                <w:lang w:val="en-US" w:eastAsia="zh-CN"/>
              </w:rPr>
              <w:t>1</w:t>
            </w:r>
          </w:p>
        </w:tc>
        <w:tc>
          <w:tcPr>
            <w:tcW w:w="1000" w:type="dxa"/>
            <w:vAlign w:val="center"/>
          </w:tcPr>
          <w:p w14:paraId="15664956">
            <w:pPr>
              <w:spacing w:line="720" w:lineRule="auto"/>
              <w:jc w:val="center"/>
              <w:rPr>
                <w:rFonts w:hint="eastAsia" w:ascii="黑体" w:hAnsi="黑体" w:eastAsia="黑体" w:cs="黑体"/>
                <w:szCs w:val="28"/>
                <w:lang w:val="en-US" w:eastAsia="zh-CN"/>
              </w:rPr>
            </w:pPr>
          </w:p>
        </w:tc>
        <w:tc>
          <w:tcPr>
            <w:tcW w:w="1054" w:type="dxa"/>
            <w:vAlign w:val="top"/>
          </w:tcPr>
          <w:p w14:paraId="40D895F7">
            <w:pPr>
              <w:spacing w:line="720" w:lineRule="auto"/>
              <w:jc w:val="center"/>
              <w:rPr>
                <w:rFonts w:hint="eastAsia" w:ascii="黑体" w:hAnsi="黑体" w:eastAsia="黑体" w:cs="黑体"/>
                <w:szCs w:val="28"/>
                <w:lang w:val="en-US" w:eastAsia="zh-CN"/>
              </w:rPr>
            </w:pPr>
          </w:p>
        </w:tc>
        <w:tc>
          <w:tcPr>
            <w:tcW w:w="2660" w:type="dxa"/>
            <w:vAlign w:val="top"/>
          </w:tcPr>
          <w:p w14:paraId="6655CD4D">
            <w:pPr>
              <w:spacing w:line="720" w:lineRule="auto"/>
              <w:jc w:val="center"/>
              <w:rPr>
                <w:rFonts w:hint="eastAsia" w:ascii="黑体" w:hAnsi="黑体" w:eastAsia="黑体" w:cs="黑体"/>
                <w:szCs w:val="28"/>
                <w:lang w:val="en-US" w:eastAsia="zh-CN"/>
              </w:rPr>
            </w:pPr>
          </w:p>
        </w:tc>
        <w:tc>
          <w:tcPr>
            <w:tcW w:w="1304" w:type="dxa"/>
            <w:vAlign w:val="center"/>
          </w:tcPr>
          <w:p w14:paraId="0C6B4592">
            <w:pPr>
              <w:spacing w:line="720" w:lineRule="auto"/>
              <w:jc w:val="center"/>
              <w:rPr>
                <w:rFonts w:hint="eastAsia" w:ascii="黑体" w:hAnsi="黑体" w:eastAsia="黑体" w:cs="黑体"/>
                <w:szCs w:val="28"/>
                <w:lang w:val="en-US" w:eastAsia="zh-CN"/>
              </w:rPr>
            </w:pPr>
          </w:p>
        </w:tc>
        <w:tc>
          <w:tcPr>
            <w:tcW w:w="1375" w:type="dxa"/>
            <w:vAlign w:val="center"/>
          </w:tcPr>
          <w:p w14:paraId="4E1B5A6C">
            <w:pPr>
              <w:spacing w:line="720" w:lineRule="auto"/>
              <w:jc w:val="center"/>
              <w:rPr>
                <w:rFonts w:hint="eastAsia" w:ascii="黑体" w:hAnsi="黑体" w:eastAsia="黑体" w:cs="黑体"/>
                <w:szCs w:val="28"/>
                <w:lang w:val="en-US" w:eastAsia="zh-CN"/>
              </w:rPr>
            </w:pPr>
          </w:p>
        </w:tc>
        <w:tc>
          <w:tcPr>
            <w:tcW w:w="1653" w:type="dxa"/>
            <w:vAlign w:val="center"/>
          </w:tcPr>
          <w:p w14:paraId="61A3A99E">
            <w:pPr>
              <w:spacing w:line="720" w:lineRule="auto"/>
              <w:jc w:val="center"/>
              <w:rPr>
                <w:rFonts w:hint="eastAsia" w:ascii="黑体" w:hAnsi="黑体" w:eastAsia="黑体" w:cs="黑体"/>
                <w:szCs w:val="28"/>
                <w:lang w:val="en-US" w:eastAsia="zh-CN"/>
              </w:rPr>
            </w:pPr>
          </w:p>
        </w:tc>
      </w:tr>
      <w:tr w14:paraId="0E2C6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70" w:type="dxa"/>
            <w:vAlign w:val="center"/>
          </w:tcPr>
          <w:p w14:paraId="550BB839">
            <w:pPr>
              <w:spacing w:line="720" w:lineRule="auto"/>
              <w:jc w:val="center"/>
              <w:rPr>
                <w:rFonts w:hint="eastAsia" w:ascii="黑体" w:hAnsi="黑体" w:eastAsia="黑体" w:cs="黑体"/>
                <w:szCs w:val="28"/>
                <w:lang w:val="en-US" w:eastAsia="zh-CN"/>
              </w:rPr>
            </w:pPr>
            <w:r>
              <w:rPr>
                <w:rFonts w:hint="eastAsia" w:ascii="黑体" w:hAnsi="黑体" w:eastAsia="黑体" w:cs="黑体"/>
                <w:szCs w:val="28"/>
                <w:lang w:val="en-US" w:eastAsia="zh-CN"/>
              </w:rPr>
              <w:t>2</w:t>
            </w:r>
          </w:p>
        </w:tc>
        <w:tc>
          <w:tcPr>
            <w:tcW w:w="1000" w:type="dxa"/>
            <w:vAlign w:val="top"/>
          </w:tcPr>
          <w:p w14:paraId="72DFE704">
            <w:pPr>
              <w:spacing w:line="720" w:lineRule="auto"/>
              <w:jc w:val="center"/>
              <w:rPr>
                <w:rFonts w:hint="eastAsia" w:ascii="黑体" w:hAnsi="黑体" w:eastAsia="黑体" w:cs="黑体"/>
                <w:szCs w:val="28"/>
                <w:lang w:val="en-US" w:eastAsia="zh-CN"/>
              </w:rPr>
            </w:pPr>
          </w:p>
        </w:tc>
        <w:tc>
          <w:tcPr>
            <w:tcW w:w="1054" w:type="dxa"/>
            <w:vAlign w:val="top"/>
          </w:tcPr>
          <w:p w14:paraId="1480F156">
            <w:pPr>
              <w:spacing w:line="720" w:lineRule="auto"/>
              <w:jc w:val="center"/>
              <w:rPr>
                <w:rFonts w:hint="eastAsia" w:ascii="黑体" w:hAnsi="黑体" w:eastAsia="黑体" w:cs="黑体"/>
                <w:szCs w:val="28"/>
                <w:lang w:val="en-US" w:eastAsia="zh-CN"/>
              </w:rPr>
            </w:pPr>
          </w:p>
        </w:tc>
        <w:tc>
          <w:tcPr>
            <w:tcW w:w="2660" w:type="dxa"/>
            <w:vAlign w:val="top"/>
          </w:tcPr>
          <w:p w14:paraId="336A92A8">
            <w:pPr>
              <w:spacing w:line="720" w:lineRule="auto"/>
              <w:jc w:val="center"/>
              <w:rPr>
                <w:rFonts w:hint="eastAsia" w:ascii="黑体" w:hAnsi="黑体" w:eastAsia="黑体" w:cs="黑体"/>
                <w:szCs w:val="28"/>
                <w:lang w:val="en-US" w:eastAsia="zh-CN"/>
              </w:rPr>
            </w:pPr>
          </w:p>
        </w:tc>
        <w:tc>
          <w:tcPr>
            <w:tcW w:w="1304" w:type="dxa"/>
            <w:vAlign w:val="center"/>
          </w:tcPr>
          <w:p w14:paraId="7F7399BF">
            <w:pPr>
              <w:spacing w:line="720" w:lineRule="auto"/>
              <w:jc w:val="center"/>
              <w:rPr>
                <w:rFonts w:hint="eastAsia" w:ascii="黑体" w:hAnsi="黑体" w:eastAsia="黑体" w:cs="黑体"/>
                <w:szCs w:val="28"/>
                <w:lang w:val="en-US" w:eastAsia="zh-CN"/>
              </w:rPr>
            </w:pPr>
          </w:p>
        </w:tc>
        <w:tc>
          <w:tcPr>
            <w:tcW w:w="1375" w:type="dxa"/>
            <w:vAlign w:val="center"/>
          </w:tcPr>
          <w:p w14:paraId="398B7B33">
            <w:pPr>
              <w:spacing w:line="720" w:lineRule="auto"/>
              <w:jc w:val="center"/>
              <w:rPr>
                <w:rFonts w:hint="eastAsia" w:ascii="黑体" w:hAnsi="黑体" w:eastAsia="黑体" w:cs="黑体"/>
                <w:szCs w:val="28"/>
                <w:lang w:val="en-US" w:eastAsia="zh-CN"/>
              </w:rPr>
            </w:pPr>
          </w:p>
        </w:tc>
        <w:tc>
          <w:tcPr>
            <w:tcW w:w="1653" w:type="dxa"/>
            <w:vAlign w:val="center"/>
          </w:tcPr>
          <w:p w14:paraId="78FACEDB">
            <w:pPr>
              <w:spacing w:line="720" w:lineRule="auto"/>
              <w:jc w:val="center"/>
              <w:rPr>
                <w:rFonts w:hint="eastAsia" w:ascii="黑体" w:hAnsi="黑体" w:eastAsia="黑体" w:cs="黑体"/>
                <w:szCs w:val="28"/>
                <w:lang w:val="en-US" w:eastAsia="zh-CN"/>
              </w:rPr>
            </w:pPr>
          </w:p>
        </w:tc>
      </w:tr>
      <w:tr w14:paraId="1716D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70" w:type="dxa"/>
            <w:vAlign w:val="center"/>
          </w:tcPr>
          <w:p w14:paraId="2CC48BB7">
            <w:pPr>
              <w:spacing w:line="720" w:lineRule="auto"/>
              <w:jc w:val="center"/>
              <w:rPr>
                <w:rFonts w:hint="eastAsia" w:ascii="黑体" w:hAnsi="黑体" w:eastAsia="黑体" w:cs="黑体"/>
                <w:szCs w:val="28"/>
                <w:lang w:val="en-US" w:eastAsia="zh-CN"/>
              </w:rPr>
            </w:pPr>
            <w:r>
              <w:rPr>
                <w:rFonts w:hint="eastAsia" w:ascii="黑体" w:hAnsi="黑体" w:eastAsia="黑体" w:cs="黑体"/>
                <w:szCs w:val="28"/>
                <w:lang w:val="en-US" w:eastAsia="zh-CN"/>
              </w:rPr>
              <w:t>3</w:t>
            </w:r>
          </w:p>
        </w:tc>
        <w:tc>
          <w:tcPr>
            <w:tcW w:w="1000" w:type="dxa"/>
            <w:vAlign w:val="top"/>
          </w:tcPr>
          <w:p w14:paraId="3B071253">
            <w:pPr>
              <w:spacing w:line="720" w:lineRule="auto"/>
              <w:jc w:val="center"/>
              <w:rPr>
                <w:rFonts w:hint="eastAsia" w:ascii="黑体" w:hAnsi="黑体" w:eastAsia="黑体" w:cs="黑体"/>
                <w:szCs w:val="28"/>
                <w:lang w:val="en-US" w:eastAsia="zh-CN"/>
              </w:rPr>
            </w:pPr>
          </w:p>
        </w:tc>
        <w:tc>
          <w:tcPr>
            <w:tcW w:w="1054" w:type="dxa"/>
            <w:vAlign w:val="top"/>
          </w:tcPr>
          <w:p w14:paraId="7444842A">
            <w:pPr>
              <w:spacing w:line="720" w:lineRule="auto"/>
              <w:jc w:val="center"/>
              <w:rPr>
                <w:rFonts w:hint="eastAsia" w:ascii="黑体" w:hAnsi="黑体" w:eastAsia="黑体" w:cs="黑体"/>
                <w:szCs w:val="28"/>
                <w:lang w:val="en-US" w:eastAsia="zh-CN"/>
              </w:rPr>
            </w:pPr>
          </w:p>
        </w:tc>
        <w:tc>
          <w:tcPr>
            <w:tcW w:w="2660" w:type="dxa"/>
            <w:vAlign w:val="top"/>
          </w:tcPr>
          <w:p w14:paraId="2EB2DAC7">
            <w:pPr>
              <w:spacing w:line="720" w:lineRule="auto"/>
              <w:jc w:val="center"/>
              <w:rPr>
                <w:rFonts w:hint="eastAsia" w:ascii="黑体" w:hAnsi="黑体" w:eastAsia="黑体" w:cs="黑体"/>
                <w:szCs w:val="28"/>
                <w:lang w:val="en-US" w:eastAsia="zh-CN"/>
              </w:rPr>
            </w:pPr>
          </w:p>
        </w:tc>
        <w:tc>
          <w:tcPr>
            <w:tcW w:w="1304" w:type="dxa"/>
            <w:vAlign w:val="center"/>
          </w:tcPr>
          <w:p w14:paraId="50938AB0">
            <w:pPr>
              <w:spacing w:line="720" w:lineRule="auto"/>
              <w:jc w:val="center"/>
              <w:rPr>
                <w:rFonts w:hint="eastAsia" w:ascii="黑体" w:hAnsi="黑体" w:eastAsia="黑体" w:cs="黑体"/>
                <w:szCs w:val="28"/>
                <w:lang w:val="en-US" w:eastAsia="zh-CN"/>
              </w:rPr>
            </w:pPr>
          </w:p>
        </w:tc>
        <w:tc>
          <w:tcPr>
            <w:tcW w:w="1375" w:type="dxa"/>
            <w:vAlign w:val="center"/>
          </w:tcPr>
          <w:p w14:paraId="0BB3FEE5">
            <w:pPr>
              <w:spacing w:line="720" w:lineRule="auto"/>
              <w:jc w:val="center"/>
              <w:rPr>
                <w:rFonts w:hint="eastAsia" w:ascii="黑体" w:hAnsi="黑体" w:eastAsia="黑体" w:cs="黑体"/>
                <w:szCs w:val="28"/>
                <w:lang w:val="en-US" w:eastAsia="zh-CN"/>
              </w:rPr>
            </w:pPr>
          </w:p>
        </w:tc>
        <w:tc>
          <w:tcPr>
            <w:tcW w:w="1653" w:type="dxa"/>
            <w:vAlign w:val="center"/>
          </w:tcPr>
          <w:p w14:paraId="44C7BC0F">
            <w:pPr>
              <w:spacing w:line="720" w:lineRule="auto"/>
              <w:jc w:val="center"/>
              <w:rPr>
                <w:rFonts w:hint="eastAsia" w:ascii="黑体" w:hAnsi="黑体" w:eastAsia="黑体" w:cs="黑体"/>
                <w:szCs w:val="28"/>
                <w:lang w:val="en-US" w:eastAsia="zh-CN"/>
              </w:rPr>
            </w:pPr>
          </w:p>
        </w:tc>
      </w:tr>
      <w:tr w14:paraId="603ED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70" w:type="dxa"/>
            <w:vAlign w:val="center"/>
          </w:tcPr>
          <w:p w14:paraId="2FEF6339">
            <w:pPr>
              <w:spacing w:line="720" w:lineRule="auto"/>
              <w:jc w:val="center"/>
              <w:rPr>
                <w:rFonts w:hint="eastAsia" w:ascii="黑体" w:hAnsi="黑体" w:eastAsia="黑体" w:cs="黑体"/>
                <w:szCs w:val="28"/>
                <w:lang w:val="en-US" w:eastAsia="zh-CN"/>
              </w:rPr>
            </w:pPr>
            <w:r>
              <w:rPr>
                <w:rFonts w:hint="eastAsia" w:ascii="黑体" w:hAnsi="黑体" w:eastAsia="黑体" w:cs="黑体"/>
                <w:szCs w:val="28"/>
                <w:lang w:val="en-US" w:eastAsia="zh-CN"/>
              </w:rPr>
              <w:t>4</w:t>
            </w:r>
          </w:p>
        </w:tc>
        <w:tc>
          <w:tcPr>
            <w:tcW w:w="1000" w:type="dxa"/>
            <w:vAlign w:val="top"/>
          </w:tcPr>
          <w:p w14:paraId="1A25CA91">
            <w:pPr>
              <w:spacing w:line="720" w:lineRule="auto"/>
              <w:jc w:val="center"/>
              <w:rPr>
                <w:rFonts w:hint="eastAsia" w:ascii="黑体" w:hAnsi="黑体" w:eastAsia="黑体" w:cs="黑体"/>
                <w:szCs w:val="28"/>
                <w:lang w:val="en-US" w:eastAsia="zh-CN"/>
              </w:rPr>
            </w:pPr>
          </w:p>
        </w:tc>
        <w:tc>
          <w:tcPr>
            <w:tcW w:w="1054" w:type="dxa"/>
            <w:vAlign w:val="top"/>
          </w:tcPr>
          <w:p w14:paraId="7C428B3B">
            <w:pPr>
              <w:spacing w:line="720" w:lineRule="auto"/>
              <w:jc w:val="center"/>
              <w:rPr>
                <w:rFonts w:hint="eastAsia" w:ascii="黑体" w:hAnsi="黑体" w:eastAsia="黑体" w:cs="黑体"/>
                <w:szCs w:val="28"/>
                <w:lang w:val="en-US" w:eastAsia="zh-CN"/>
              </w:rPr>
            </w:pPr>
          </w:p>
        </w:tc>
        <w:tc>
          <w:tcPr>
            <w:tcW w:w="2660" w:type="dxa"/>
            <w:vAlign w:val="top"/>
          </w:tcPr>
          <w:p w14:paraId="18DBC602">
            <w:pPr>
              <w:spacing w:line="720" w:lineRule="auto"/>
              <w:jc w:val="center"/>
              <w:rPr>
                <w:rFonts w:hint="eastAsia" w:ascii="黑体" w:hAnsi="黑体" w:eastAsia="黑体" w:cs="黑体"/>
                <w:szCs w:val="28"/>
                <w:lang w:val="en-US" w:eastAsia="zh-CN"/>
              </w:rPr>
            </w:pPr>
          </w:p>
        </w:tc>
        <w:tc>
          <w:tcPr>
            <w:tcW w:w="1304" w:type="dxa"/>
            <w:vAlign w:val="center"/>
          </w:tcPr>
          <w:p w14:paraId="58084B25">
            <w:pPr>
              <w:spacing w:line="720" w:lineRule="auto"/>
              <w:jc w:val="center"/>
              <w:rPr>
                <w:rFonts w:hint="eastAsia" w:ascii="黑体" w:hAnsi="黑体" w:eastAsia="黑体" w:cs="黑体"/>
                <w:szCs w:val="28"/>
                <w:lang w:val="en-US" w:eastAsia="zh-CN"/>
              </w:rPr>
            </w:pPr>
          </w:p>
        </w:tc>
        <w:tc>
          <w:tcPr>
            <w:tcW w:w="1375" w:type="dxa"/>
            <w:vAlign w:val="center"/>
          </w:tcPr>
          <w:p w14:paraId="65800F8B">
            <w:pPr>
              <w:spacing w:line="720" w:lineRule="auto"/>
              <w:jc w:val="center"/>
              <w:rPr>
                <w:rFonts w:hint="eastAsia" w:ascii="黑体" w:hAnsi="黑体" w:eastAsia="黑体" w:cs="黑体"/>
                <w:szCs w:val="28"/>
                <w:lang w:val="en-US" w:eastAsia="zh-CN"/>
              </w:rPr>
            </w:pPr>
          </w:p>
        </w:tc>
        <w:tc>
          <w:tcPr>
            <w:tcW w:w="1653" w:type="dxa"/>
            <w:vAlign w:val="center"/>
          </w:tcPr>
          <w:p w14:paraId="7BEDAE94">
            <w:pPr>
              <w:spacing w:line="720" w:lineRule="auto"/>
              <w:jc w:val="center"/>
              <w:rPr>
                <w:rFonts w:hint="eastAsia" w:ascii="黑体" w:hAnsi="黑体" w:eastAsia="黑体" w:cs="黑体"/>
                <w:szCs w:val="28"/>
                <w:lang w:val="en-US" w:eastAsia="zh-CN"/>
              </w:rPr>
            </w:pPr>
          </w:p>
        </w:tc>
      </w:tr>
      <w:tr w14:paraId="02952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70" w:type="dxa"/>
            <w:vAlign w:val="center"/>
          </w:tcPr>
          <w:p w14:paraId="6C38D358">
            <w:pPr>
              <w:spacing w:line="720" w:lineRule="auto"/>
              <w:jc w:val="center"/>
              <w:rPr>
                <w:rFonts w:hint="default" w:ascii="黑体" w:hAnsi="黑体" w:eastAsia="黑体" w:cs="黑体"/>
                <w:szCs w:val="28"/>
                <w:lang w:val="en-US" w:eastAsia="zh-CN"/>
              </w:rPr>
            </w:pPr>
            <w:r>
              <w:rPr>
                <w:rFonts w:hint="eastAsia" w:ascii="黑体" w:hAnsi="黑体" w:eastAsia="黑体" w:cs="黑体"/>
                <w:szCs w:val="28"/>
                <w:lang w:val="en-US" w:eastAsia="zh-CN"/>
              </w:rPr>
              <w:t>......</w:t>
            </w:r>
          </w:p>
        </w:tc>
        <w:tc>
          <w:tcPr>
            <w:tcW w:w="1000" w:type="dxa"/>
            <w:vAlign w:val="top"/>
          </w:tcPr>
          <w:p w14:paraId="4E4CDFF7">
            <w:pPr>
              <w:spacing w:line="720" w:lineRule="auto"/>
              <w:jc w:val="center"/>
              <w:rPr>
                <w:rFonts w:hint="eastAsia" w:ascii="黑体" w:hAnsi="黑体" w:eastAsia="黑体" w:cs="黑体"/>
                <w:szCs w:val="28"/>
              </w:rPr>
            </w:pPr>
          </w:p>
        </w:tc>
        <w:tc>
          <w:tcPr>
            <w:tcW w:w="1054" w:type="dxa"/>
            <w:vAlign w:val="top"/>
          </w:tcPr>
          <w:p w14:paraId="194B82D8">
            <w:pPr>
              <w:spacing w:line="720" w:lineRule="auto"/>
              <w:jc w:val="center"/>
              <w:rPr>
                <w:rFonts w:hint="eastAsia" w:ascii="黑体" w:hAnsi="黑体" w:eastAsia="黑体" w:cs="黑体"/>
                <w:szCs w:val="28"/>
              </w:rPr>
            </w:pPr>
          </w:p>
        </w:tc>
        <w:tc>
          <w:tcPr>
            <w:tcW w:w="2660" w:type="dxa"/>
            <w:vAlign w:val="top"/>
          </w:tcPr>
          <w:p w14:paraId="57C95353">
            <w:pPr>
              <w:spacing w:line="720" w:lineRule="auto"/>
              <w:jc w:val="center"/>
              <w:rPr>
                <w:rFonts w:hint="eastAsia" w:ascii="黑体" w:hAnsi="黑体" w:eastAsia="黑体" w:cs="黑体"/>
                <w:szCs w:val="28"/>
                <w:lang w:eastAsia="zh-CN"/>
              </w:rPr>
            </w:pPr>
          </w:p>
        </w:tc>
        <w:tc>
          <w:tcPr>
            <w:tcW w:w="1304" w:type="dxa"/>
            <w:vAlign w:val="center"/>
          </w:tcPr>
          <w:p w14:paraId="165B8640">
            <w:pPr>
              <w:spacing w:line="720" w:lineRule="auto"/>
              <w:jc w:val="center"/>
              <w:rPr>
                <w:rFonts w:hint="eastAsia" w:ascii="黑体" w:hAnsi="黑体" w:eastAsia="黑体" w:cs="黑体"/>
                <w:szCs w:val="28"/>
                <w:lang w:val="en-US" w:eastAsia="zh-CN"/>
              </w:rPr>
            </w:pPr>
          </w:p>
        </w:tc>
        <w:tc>
          <w:tcPr>
            <w:tcW w:w="1375" w:type="dxa"/>
            <w:vAlign w:val="center"/>
          </w:tcPr>
          <w:p w14:paraId="366F8B49">
            <w:pPr>
              <w:spacing w:line="720" w:lineRule="auto"/>
              <w:jc w:val="center"/>
              <w:rPr>
                <w:rFonts w:hint="eastAsia" w:ascii="黑体" w:hAnsi="黑体" w:eastAsia="黑体" w:cs="黑体"/>
                <w:szCs w:val="28"/>
                <w:lang w:val="en-US" w:eastAsia="zh-CN"/>
              </w:rPr>
            </w:pPr>
          </w:p>
        </w:tc>
        <w:tc>
          <w:tcPr>
            <w:tcW w:w="1653" w:type="dxa"/>
            <w:vAlign w:val="center"/>
          </w:tcPr>
          <w:p w14:paraId="3A4093FC">
            <w:pPr>
              <w:spacing w:line="720" w:lineRule="auto"/>
              <w:jc w:val="center"/>
              <w:rPr>
                <w:rFonts w:hint="eastAsia" w:ascii="黑体" w:hAnsi="黑体" w:eastAsia="黑体" w:cs="黑体"/>
                <w:szCs w:val="28"/>
                <w:lang w:val="en-US" w:eastAsia="zh-CN"/>
              </w:rPr>
            </w:pPr>
          </w:p>
        </w:tc>
      </w:tr>
      <w:tr w14:paraId="64F31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870" w:type="dxa"/>
            <w:vAlign w:val="center"/>
          </w:tcPr>
          <w:p w14:paraId="41BB0D94">
            <w:pPr>
              <w:rPr>
                <w:rFonts w:hint="default" w:ascii="黑体" w:hAnsi="黑体" w:eastAsia="黑体" w:cs="黑体"/>
                <w:szCs w:val="28"/>
                <w:lang w:val="en-US" w:eastAsia="zh-CN"/>
              </w:rPr>
            </w:pPr>
            <w:r>
              <w:rPr>
                <w:rFonts w:hint="eastAsia" w:ascii="黑体" w:hAnsi="黑体" w:eastAsia="黑体" w:cs="黑体"/>
                <w:szCs w:val="28"/>
                <w:lang w:val="en-US" w:eastAsia="zh-CN"/>
              </w:rPr>
              <w:t>总计</w:t>
            </w:r>
          </w:p>
        </w:tc>
        <w:tc>
          <w:tcPr>
            <w:tcW w:w="9046" w:type="dxa"/>
            <w:gridSpan w:val="6"/>
            <w:vAlign w:val="center"/>
          </w:tcPr>
          <w:p w14:paraId="168F0A34">
            <w:pPr>
              <w:rPr>
                <w:rFonts w:hint="eastAsia" w:ascii="黑体" w:hAnsi="黑体" w:eastAsia="黑体" w:cs="黑体"/>
                <w:szCs w:val="28"/>
                <w:lang w:val="en-US" w:eastAsia="zh-CN"/>
              </w:rPr>
            </w:pPr>
          </w:p>
        </w:tc>
      </w:tr>
    </w:tbl>
    <w:p w14:paraId="4D9D2D73">
      <w:pPr>
        <w:ind w:right="57"/>
        <w:jc w:val="cente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t>四、投报价明细表</w:t>
      </w:r>
    </w:p>
    <w:p w14:paraId="28F342D6">
      <w:pPr>
        <w:pStyle w:val="20"/>
        <w:spacing w:line="440" w:lineRule="exact"/>
        <w:ind w:firstLine="240" w:firstLineChars="100"/>
        <w:rPr>
          <w:rFonts w:hint="eastAsia" w:ascii="黑体" w:hAnsi="黑体" w:eastAsia="黑体" w:cs="黑体"/>
          <w:sz w:val="24"/>
          <w:szCs w:val="24"/>
        </w:rPr>
      </w:pPr>
    </w:p>
    <w:p w14:paraId="7D34F4CD">
      <w:pPr>
        <w:pStyle w:val="20"/>
        <w:spacing w:line="440" w:lineRule="exact"/>
        <w:ind w:firstLine="210" w:firstLineChars="100"/>
        <w:rPr>
          <w:rFonts w:hint="eastAsia" w:ascii="黑体" w:hAnsi="黑体" w:eastAsia="黑体" w:cs="黑体"/>
          <w:sz w:val="24"/>
          <w:szCs w:val="24"/>
        </w:rPr>
      </w:pPr>
      <w:r>
        <w:rPr>
          <w:rFonts w:hint="eastAsia" w:ascii="黑体" w:hAnsi="黑体" w:eastAsia="黑体" w:cs="黑体"/>
        </w:rPr>
        <w:t>项目</w:t>
      </w:r>
      <w:r>
        <w:rPr>
          <w:rFonts w:hint="eastAsia" w:ascii="黑体" w:hAnsi="黑体" w:eastAsia="黑体" w:cs="黑体"/>
          <w:lang w:val="en-US" w:eastAsia="zh-CN"/>
        </w:rPr>
        <w:t>名称</w:t>
      </w:r>
      <w:r>
        <w:rPr>
          <w:rFonts w:hint="eastAsia" w:ascii="黑体" w:hAnsi="黑体" w:eastAsia="黑体" w:cs="黑体"/>
          <w:sz w:val="24"/>
          <w:szCs w:val="24"/>
        </w:rPr>
        <w:t>：____________________</w:t>
      </w:r>
    </w:p>
    <w:p w14:paraId="459ACEC4">
      <w:pPr>
        <w:pStyle w:val="20"/>
        <w:spacing w:line="440" w:lineRule="exact"/>
        <w:ind w:firstLine="240" w:firstLineChars="100"/>
        <w:rPr>
          <w:rFonts w:hint="eastAsia" w:ascii="黑体" w:hAnsi="黑体" w:eastAsia="黑体" w:cs="黑体"/>
          <w:sz w:val="24"/>
          <w:szCs w:val="24"/>
          <w:lang w:val="en-US" w:eastAsia="zh-CN"/>
        </w:rPr>
      </w:pPr>
    </w:p>
    <w:p w14:paraId="2ED284CD">
      <w:pPr>
        <w:keepNext w:val="0"/>
        <w:keepLines w:val="0"/>
        <w:widowControl/>
        <w:suppressLineNumbers w:val="0"/>
        <w:jc w:val="center"/>
        <w:textAlignment w:val="center"/>
        <w:rPr>
          <w:rFonts w:hint="eastAsia" w:ascii="黑体" w:hAnsi="黑体" w:eastAsia="黑体" w:cs="黑体"/>
          <w:i w:val="0"/>
          <w:color w:val="000000"/>
          <w:kern w:val="0"/>
          <w:sz w:val="21"/>
          <w:szCs w:val="21"/>
          <w:u w:val="none"/>
          <w:lang w:val="en-US" w:eastAsia="zh-CN" w:bidi="ar"/>
        </w:rPr>
      </w:pPr>
    </w:p>
    <w:p w14:paraId="08F2448D">
      <w:pPr>
        <w:pStyle w:val="20"/>
        <w:spacing w:line="440" w:lineRule="exact"/>
        <w:ind w:firstLine="420" w:firstLineChars="200"/>
        <w:rPr>
          <w:rFonts w:hint="eastAsia" w:ascii="黑体" w:hAnsi="黑体" w:eastAsia="黑体" w:cs="黑体"/>
        </w:rPr>
      </w:pPr>
      <w:r>
        <w:rPr>
          <w:rFonts w:hint="eastAsia" w:ascii="黑体" w:hAnsi="黑体" w:eastAsia="黑体" w:cs="黑体"/>
          <w:lang w:eastAsia="zh-CN"/>
        </w:rPr>
        <w:t>供应商</w:t>
      </w:r>
      <w:r>
        <w:rPr>
          <w:rFonts w:hint="eastAsia" w:ascii="黑体" w:hAnsi="黑体" w:eastAsia="黑体" w:cs="黑体"/>
        </w:rPr>
        <w:t>名称(公章)：________________</w:t>
      </w:r>
    </w:p>
    <w:p w14:paraId="1DE83BA8">
      <w:pPr>
        <w:pStyle w:val="20"/>
        <w:spacing w:line="440" w:lineRule="exact"/>
        <w:ind w:firstLine="420" w:firstLineChars="200"/>
        <w:rPr>
          <w:rFonts w:hint="eastAsia" w:ascii="黑体" w:hAnsi="黑体" w:eastAsia="黑体" w:cs="黑体"/>
        </w:rPr>
      </w:pPr>
    </w:p>
    <w:p w14:paraId="2ACF4935">
      <w:pPr>
        <w:pStyle w:val="20"/>
        <w:spacing w:line="440" w:lineRule="exact"/>
        <w:ind w:firstLine="420" w:firstLineChars="200"/>
        <w:rPr>
          <w:rFonts w:hint="eastAsia" w:ascii="黑体" w:hAnsi="黑体" w:eastAsia="黑体" w:cs="黑体"/>
        </w:rPr>
      </w:pPr>
      <w:r>
        <w:rPr>
          <w:rFonts w:hint="eastAsia" w:ascii="黑体" w:hAnsi="黑体" w:eastAsia="黑体" w:cs="黑体"/>
        </w:rPr>
        <w:t>法定代表人或其授权代表(签字或盖章)：________________</w:t>
      </w:r>
    </w:p>
    <w:p w14:paraId="4CA106B1">
      <w:pPr>
        <w:pStyle w:val="20"/>
        <w:spacing w:line="440" w:lineRule="exact"/>
        <w:ind w:firstLine="420" w:firstLineChars="200"/>
        <w:rPr>
          <w:rFonts w:hint="eastAsia" w:ascii="黑体" w:hAnsi="黑体" w:eastAsia="黑体" w:cs="黑体"/>
        </w:rPr>
      </w:pPr>
    </w:p>
    <w:p w14:paraId="56299395">
      <w:pPr>
        <w:pStyle w:val="20"/>
        <w:spacing w:line="440" w:lineRule="exact"/>
        <w:ind w:firstLine="420" w:firstLineChars="200"/>
        <w:rPr>
          <w:rFonts w:hint="eastAsia" w:ascii="黑体" w:hAnsi="黑体" w:eastAsia="黑体" w:cs="黑体"/>
        </w:rPr>
      </w:pPr>
      <w:r>
        <w:rPr>
          <w:rFonts w:hint="eastAsia" w:ascii="黑体" w:hAnsi="黑体" w:eastAsia="黑体" w:cs="黑体"/>
        </w:rPr>
        <w:t>日</w:t>
      </w:r>
      <w:r>
        <w:rPr>
          <w:rFonts w:hint="eastAsia" w:ascii="黑体" w:hAnsi="黑体" w:eastAsia="黑体" w:cs="黑体"/>
          <w:lang w:val="en-US" w:eastAsia="zh-CN"/>
        </w:rPr>
        <w:t xml:space="preserve">  </w:t>
      </w:r>
      <w:r>
        <w:rPr>
          <w:rFonts w:hint="eastAsia" w:ascii="黑体" w:hAnsi="黑体" w:eastAsia="黑体" w:cs="黑体"/>
        </w:rPr>
        <w:t>期：______年____</w:t>
      </w:r>
      <w:r>
        <w:rPr>
          <w:rFonts w:hint="eastAsia" w:ascii="黑体" w:hAnsi="黑体" w:eastAsia="黑体" w:cs="黑体"/>
          <w:lang w:val="en-US" w:eastAsia="zh-CN"/>
        </w:rPr>
        <w:t xml:space="preserve"> </w:t>
      </w:r>
      <w:r>
        <w:rPr>
          <w:rFonts w:hint="eastAsia" w:ascii="黑体" w:hAnsi="黑体" w:eastAsia="黑体" w:cs="黑体"/>
        </w:rPr>
        <w:t>月____日</w:t>
      </w:r>
    </w:p>
    <w:p w14:paraId="7C1E7847">
      <w:pPr>
        <w:rPr>
          <w:rFonts w:hint="eastAsia" w:ascii="黑体" w:hAnsi="黑体" w:eastAsia="黑体" w:cs="黑体"/>
          <w:szCs w:val="28"/>
        </w:rPr>
      </w:pPr>
    </w:p>
    <w:p w14:paraId="281EE9EC">
      <w:pPr>
        <w:pStyle w:val="2"/>
        <w:rPr>
          <w:rFonts w:hint="eastAsia" w:ascii="黑体" w:hAnsi="黑体" w:eastAsia="黑体" w:cs="黑体"/>
          <w:szCs w:val="28"/>
        </w:rPr>
      </w:pPr>
    </w:p>
    <w:p w14:paraId="391E5820">
      <w:pPr>
        <w:ind w:right="57"/>
        <w:jc w:val="both"/>
        <w:rPr>
          <w:rFonts w:hint="eastAsia" w:ascii="黑体" w:hAnsi="黑体" w:eastAsia="黑体" w:cs="黑体"/>
          <w:b/>
          <w:sz w:val="36"/>
          <w:szCs w:val="36"/>
          <w:lang w:val="en-US" w:eastAsia="zh-CN"/>
        </w:rPr>
      </w:pPr>
    </w:p>
    <w:p w14:paraId="130420C7">
      <w:pPr>
        <w:rPr>
          <w:rFonts w:hint="eastAsia" w:ascii="黑体" w:hAnsi="黑体" w:eastAsia="黑体" w:cs="黑体"/>
          <w:b/>
          <w:sz w:val="36"/>
          <w:szCs w:val="36"/>
          <w:lang w:val="en-US" w:eastAsia="zh-CN"/>
        </w:rPr>
      </w:pPr>
      <w:bookmarkStart w:id="376" w:name="_Toc455992341"/>
    </w:p>
    <w:p w14:paraId="7C128377">
      <w:pP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br w:type="page"/>
      </w:r>
    </w:p>
    <w:p w14:paraId="6F3316C9">
      <w:pPr>
        <w:ind w:right="57"/>
        <w:jc w:val="cente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t>五、商务条款偏离表</w:t>
      </w:r>
      <w:bookmarkEnd w:id="376"/>
    </w:p>
    <w:p w14:paraId="4FA81051">
      <w:pPr>
        <w:pStyle w:val="20"/>
        <w:spacing w:line="440" w:lineRule="exact"/>
        <w:ind w:firstLine="240" w:firstLineChars="100"/>
        <w:rPr>
          <w:rFonts w:hint="eastAsia" w:ascii="黑体" w:hAnsi="黑体" w:eastAsia="黑体" w:cs="黑体"/>
          <w:sz w:val="24"/>
          <w:szCs w:val="24"/>
        </w:rPr>
      </w:pPr>
    </w:p>
    <w:p w14:paraId="1FA2750F">
      <w:pPr>
        <w:pStyle w:val="20"/>
        <w:spacing w:line="440" w:lineRule="exact"/>
        <w:ind w:firstLine="420" w:firstLineChars="200"/>
        <w:rPr>
          <w:rFonts w:hint="eastAsia" w:ascii="黑体" w:hAnsi="黑体" w:eastAsia="黑体" w:cs="黑体"/>
          <w:sz w:val="24"/>
          <w:szCs w:val="24"/>
        </w:rPr>
      </w:pPr>
      <w:r>
        <w:rPr>
          <w:rFonts w:hint="eastAsia" w:ascii="黑体" w:hAnsi="黑体" w:eastAsia="黑体" w:cs="黑体"/>
        </w:rPr>
        <w:t>项目编号</w:t>
      </w:r>
      <w:r>
        <w:rPr>
          <w:rFonts w:hint="eastAsia" w:ascii="黑体" w:hAnsi="黑体" w:eastAsia="黑体" w:cs="黑体"/>
          <w:sz w:val="24"/>
          <w:szCs w:val="24"/>
        </w:rPr>
        <w:t>：____________________</w:t>
      </w:r>
    </w:p>
    <w:p w14:paraId="329F81D9">
      <w:pPr>
        <w:pStyle w:val="20"/>
        <w:spacing w:line="440" w:lineRule="exact"/>
        <w:ind w:firstLine="480" w:firstLineChars="200"/>
        <w:rPr>
          <w:rFonts w:hint="eastAsia" w:ascii="黑体" w:hAnsi="黑体" w:eastAsia="黑体" w:cs="黑体"/>
          <w:sz w:val="24"/>
          <w:szCs w:val="24"/>
        </w:rPr>
      </w:pP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2542"/>
        <w:gridCol w:w="2715"/>
        <w:gridCol w:w="1187"/>
        <w:gridCol w:w="1237"/>
      </w:tblGrid>
      <w:tr w14:paraId="00482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976" w:type="dxa"/>
            <w:noWrap w:val="0"/>
            <w:vAlign w:val="center"/>
          </w:tcPr>
          <w:p w14:paraId="348AC9EC">
            <w:pPr>
              <w:jc w:val="center"/>
              <w:rPr>
                <w:rFonts w:hint="eastAsia" w:ascii="黑体" w:hAnsi="黑体" w:eastAsia="黑体" w:cs="黑体"/>
                <w:szCs w:val="28"/>
              </w:rPr>
            </w:pPr>
            <w:r>
              <w:rPr>
                <w:rFonts w:hint="eastAsia" w:ascii="黑体" w:hAnsi="黑体" w:eastAsia="黑体" w:cs="黑体"/>
                <w:szCs w:val="28"/>
              </w:rPr>
              <w:t>序号</w:t>
            </w:r>
          </w:p>
        </w:tc>
        <w:tc>
          <w:tcPr>
            <w:tcW w:w="2542" w:type="dxa"/>
            <w:noWrap w:val="0"/>
            <w:vAlign w:val="center"/>
          </w:tcPr>
          <w:p w14:paraId="4F66306A">
            <w:pPr>
              <w:jc w:val="center"/>
              <w:rPr>
                <w:rFonts w:hint="eastAsia" w:ascii="黑体" w:hAnsi="黑体" w:eastAsia="黑体" w:cs="黑体"/>
                <w:szCs w:val="28"/>
              </w:rPr>
            </w:pPr>
            <w:r>
              <w:rPr>
                <w:rFonts w:hint="eastAsia" w:ascii="黑体" w:hAnsi="黑体" w:eastAsia="黑体" w:cs="黑体"/>
                <w:szCs w:val="28"/>
                <w:lang w:eastAsia="zh-CN"/>
              </w:rPr>
              <w:t>磋商</w:t>
            </w:r>
            <w:r>
              <w:rPr>
                <w:rFonts w:hint="eastAsia" w:ascii="黑体" w:hAnsi="黑体" w:eastAsia="黑体" w:cs="黑体"/>
                <w:szCs w:val="28"/>
              </w:rPr>
              <w:t>文件的商务条款</w:t>
            </w:r>
          </w:p>
        </w:tc>
        <w:tc>
          <w:tcPr>
            <w:tcW w:w="2715" w:type="dxa"/>
            <w:noWrap w:val="0"/>
            <w:vAlign w:val="center"/>
          </w:tcPr>
          <w:p w14:paraId="6932143B">
            <w:pPr>
              <w:jc w:val="center"/>
              <w:rPr>
                <w:rFonts w:hint="eastAsia" w:ascii="黑体" w:hAnsi="黑体" w:eastAsia="黑体" w:cs="黑体"/>
                <w:szCs w:val="28"/>
              </w:rPr>
            </w:pPr>
            <w:r>
              <w:rPr>
                <w:rFonts w:hint="eastAsia" w:ascii="黑体" w:hAnsi="黑体" w:eastAsia="黑体" w:cs="黑体"/>
                <w:szCs w:val="28"/>
                <w:lang w:eastAsia="zh-CN"/>
              </w:rPr>
              <w:t>响应</w:t>
            </w:r>
            <w:r>
              <w:rPr>
                <w:rFonts w:hint="eastAsia" w:ascii="黑体" w:hAnsi="黑体" w:eastAsia="黑体" w:cs="黑体"/>
                <w:szCs w:val="28"/>
              </w:rPr>
              <w:t>文件的商务条款</w:t>
            </w:r>
          </w:p>
        </w:tc>
        <w:tc>
          <w:tcPr>
            <w:tcW w:w="1187" w:type="dxa"/>
            <w:noWrap w:val="0"/>
            <w:vAlign w:val="center"/>
          </w:tcPr>
          <w:p w14:paraId="369730E2">
            <w:pPr>
              <w:jc w:val="center"/>
              <w:rPr>
                <w:rFonts w:hint="eastAsia" w:ascii="黑体" w:hAnsi="黑体" w:eastAsia="黑体" w:cs="黑体"/>
                <w:szCs w:val="28"/>
              </w:rPr>
            </w:pPr>
            <w:r>
              <w:rPr>
                <w:rFonts w:hint="eastAsia" w:ascii="黑体" w:hAnsi="黑体" w:eastAsia="黑体" w:cs="黑体"/>
                <w:szCs w:val="28"/>
              </w:rPr>
              <w:t>偏离</w:t>
            </w:r>
          </w:p>
        </w:tc>
        <w:tc>
          <w:tcPr>
            <w:tcW w:w="1237" w:type="dxa"/>
            <w:noWrap w:val="0"/>
            <w:vAlign w:val="center"/>
          </w:tcPr>
          <w:p w14:paraId="7B8F044C">
            <w:pPr>
              <w:jc w:val="center"/>
              <w:rPr>
                <w:rFonts w:hint="eastAsia" w:ascii="黑体" w:hAnsi="黑体" w:eastAsia="黑体" w:cs="黑体"/>
                <w:szCs w:val="28"/>
              </w:rPr>
            </w:pPr>
            <w:r>
              <w:rPr>
                <w:rFonts w:hint="eastAsia" w:ascii="黑体" w:hAnsi="黑体" w:eastAsia="黑体" w:cs="黑体"/>
                <w:szCs w:val="28"/>
              </w:rPr>
              <w:t>说明</w:t>
            </w:r>
          </w:p>
        </w:tc>
      </w:tr>
      <w:tr w14:paraId="38F3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76" w:type="dxa"/>
            <w:noWrap w:val="0"/>
            <w:vAlign w:val="center"/>
          </w:tcPr>
          <w:p w14:paraId="5B1990F8">
            <w:pPr>
              <w:pStyle w:val="20"/>
              <w:spacing w:line="440" w:lineRule="exact"/>
              <w:jc w:val="center"/>
              <w:rPr>
                <w:rFonts w:hint="eastAsia" w:ascii="黑体" w:hAnsi="黑体" w:eastAsia="黑体" w:cs="黑体"/>
                <w:sz w:val="24"/>
                <w:szCs w:val="24"/>
              </w:rPr>
            </w:pPr>
          </w:p>
        </w:tc>
        <w:tc>
          <w:tcPr>
            <w:tcW w:w="2542" w:type="dxa"/>
            <w:noWrap w:val="0"/>
            <w:vAlign w:val="center"/>
          </w:tcPr>
          <w:p w14:paraId="04271779">
            <w:pPr>
              <w:pStyle w:val="20"/>
              <w:spacing w:line="440" w:lineRule="exact"/>
              <w:jc w:val="center"/>
              <w:rPr>
                <w:rFonts w:hint="eastAsia" w:ascii="黑体" w:hAnsi="黑体" w:eastAsia="黑体" w:cs="黑体"/>
                <w:sz w:val="24"/>
                <w:szCs w:val="24"/>
              </w:rPr>
            </w:pPr>
          </w:p>
        </w:tc>
        <w:tc>
          <w:tcPr>
            <w:tcW w:w="2715" w:type="dxa"/>
            <w:noWrap w:val="0"/>
            <w:vAlign w:val="center"/>
          </w:tcPr>
          <w:p w14:paraId="1A862B0A">
            <w:pPr>
              <w:pStyle w:val="20"/>
              <w:spacing w:line="440" w:lineRule="exact"/>
              <w:jc w:val="center"/>
              <w:rPr>
                <w:rFonts w:hint="eastAsia" w:ascii="黑体" w:hAnsi="黑体" w:eastAsia="黑体" w:cs="黑体"/>
                <w:sz w:val="24"/>
                <w:szCs w:val="24"/>
              </w:rPr>
            </w:pPr>
          </w:p>
        </w:tc>
        <w:tc>
          <w:tcPr>
            <w:tcW w:w="1187" w:type="dxa"/>
            <w:noWrap w:val="0"/>
            <w:vAlign w:val="center"/>
          </w:tcPr>
          <w:p w14:paraId="76CFA299">
            <w:pPr>
              <w:pStyle w:val="20"/>
              <w:spacing w:line="440" w:lineRule="exact"/>
              <w:jc w:val="center"/>
              <w:rPr>
                <w:rFonts w:hint="eastAsia" w:ascii="黑体" w:hAnsi="黑体" w:eastAsia="黑体" w:cs="黑体"/>
                <w:sz w:val="24"/>
                <w:szCs w:val="24"/>
              </w:rPr>
            </w:pPr>
          </w:p>
        </w:tc>
        <w:tc>
          <w:tcPr>
            <w:tcW w:w="1237" w:type="dxa"/>
            <w:noWrap w:val="0"/>
            <w:vAlign w:val="center"/>
          </w:tcPr>
          <w:p w14:paraId="6222836A">
            <w:pPr>
              <w:pStyle w:val="20"/>
              <w:spacing w:line="440" w:lineRule="exact"/>
              <w:jc w:val="center"/>
              <w:rPr>
                <w:rFonts w:hint="eastAsia" w:ascii="黑体" w:hAnsi="黑体" w:eastAsia="黑体" w:cs="黑体"/>
                <w:sz w:val="24"/>
                <w:szCs w:val="24"/>
              </w:rPr>
            </w:pPr>
          </w:p>
        </w:tc>
      </w:tr>
      <w:tr w14:paraId="67B41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76" w:type="dxa"/>
            <w:noWrap w:val="0"/>
            <w:vAlign w:val="center"/>
          </w:tcPr>
          <w:p w14:paraId="775A6BCF">
            <w:pPr>
              <w:pStyle w:val="20"/>
              <w:spacing w:line="440" w:lineRule="exact"/>
              <w:jc w:val="center"/>
              <w:rPr>
                <w:rFonts w:hint="eastAsia" w:ascii="黑体" w:hAnsi="黑体" w:eastAsia="黑体" w:cs="黑体"/>
                <w:sz w:val="24"/>
                <w:szCs w:val="24"/>
              </w:rPr>
            </w:pPr>
          </w:p>
        </w:tc>
        <w:tc>
          <w:tcPr>
            <w:tcW w:w="2542" w:type="dxa"/>
            <w:noWrap w:val="0"/>
            <w:vAlign w:val="center"/>
          </w:tcPr>
          <w:p w14:paraId="5FB44BA2">
            <w:pPr>
              <w:pStyle w:val="20"/>
              <w:spacing w:line="440" w:lineRule="exact"/>
              <w:jc w:val="center"/>
              <w:rPr>
                <w:rFonts w:hint="eastAsia" w:ascii="黑体" w:hAnsi="黑体" w:eastAsia="黑体" w:cs="黑体"/>
                <w:sz w:val="24"/>
                <w:szCs w:val="24"/>
              </w:rPr>
            </w:pPr>
          </w:p>
        </w:tc>
        <w:tc>
          <w:tcPr>
            <w:tcW w:w="2715" w:type="dxa"/>
            <w:noWrap w:val="0"/>
            <w:vAlign w:val="center"/>
          </w:tcPr>
          <w:p w14:paraId="3DC49582">
            <w:pPr>
              <w:pStyle w:val="20"/>
              <w:spacing w:line="440" w:lineRule="exact"/>
              <w:jc w:val="center"/>
              <w:rPr>
                <w:rFonts w:hint="eastAsia" w:ascii="黑体" w:hAnsi="黑体" w:eastAsia="黑体" w:cs="黑体"/>
                <w:sz w:val="24"/>
                <w:szCs w:val="24"/>
              </w:rPr>
            </w:pPr>
          </w:p>
        </w:tc>
        <w:tc>
          <w:tcPr>
            <w:tcW w:w="1187" w:type="dxa"/>
            <w:noWrap w:val="0"/>
            <w:vAlign w:val="center"/>
          </w:tcPr>
          <w:p w14:paraId="417964B7">
            <w:pPr>
              <w:pStyle w:val="20"/>
              <w:spacing w:line="440" w:lineRule="exact"/>
              <w:jc w:val="center"/>
              <w:rPr>
                <w:rFonts w:hint="eastAsia" w:ascii="黑体" w:hAnsi="黑体" w:eastAsia="黑体" w:cs="黑体"/>
                <w:sz w:val="24"/>
                <w:szCs w:val="24"/>
              </w:rPr>
            </w:pPr>
          </w:p>
        </w:tc>
        <w:tc>
          <w:tcPr>
            <w:tcW w:w="1237" w:type="dxa"/>
            <w:noWrap w:val="0"/>
            <w:vAlign w:val="center"/>
          </w:tcPr>
          <w:p w14:paraId="37479153">
            <w:pPr>
              <w:pStyle w:val="20"/>
              <w:spacing w:line="440" w:lineRule="exact"/>
              <w:jc w:val="center"/>
              <w:rPr>
                <w:rFonts w:hint="eastAsia" w:ascii="黑体" w:hAnsi="黑体" w:eastAsia="黑体" w:cs="黑体"/>
                <w:sz w:val="24"/>
                <w:szCs w:val="24"/>
              </w:rPr>
            </w:pPr>
          </w:p>
        </w:tc>
      </w:tr>
      <w:tr w14:paraId="4B265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76" w:type="dxa"/>
            <w:noWrap w:val="0"/>
            <w:vAlign w:val="center"/>
          </w:tcPr>
          <w:p w14:paraId="40AFC40B">
            <w:pPr>
              <w:pStyle w:val="20"/>
              <w:spacing w:line="440" w:lineRule="exact"/>
              <w:jc w:val="center"/>
              <w:rPr>
                <w:rFonts w:hint="eastAsia" w:ascii="黑体" w:hAnsi="黑体" w:eastAsia="黑体" w:cs="黑体"/>
                <w:sz w:val="24"/>
                <w:szCs w:val="24"/>
              </w:rPr>
            </w:pPr>
          </w:p>
        </w:tc>
        <w:tc>
          <w:tcPr>
            <w:tcW w:w="2542" w:type="dxa"/>
            <w:noWrap w:val="0"/>
            <w:vAlign w:val="center"/>
          </w:tcPr>
          <w:p w14:paraId="06947C47">
            <w:pPr>
              <w:pStyle w:val="20"/>
              <w:spacing w:line="440" w:lineRule="exact"/>
              <w:jc w:val="center"/>
              <w:rPr>
                <w:rFonts w:hint="eastAsia" w:ascii="黑体" w:hAnsi="黑体" w:eastAsia="黑体" w:cs="黑体"/>
                <w:sz w:val="24"/>
                <w:szCs w:val="24"/>
              </w:rPr>
            </w:pPr>
          </w:p>
        </w:tc>
        <w:tc>
          <w:tcPr>
            <w:tcW w:w="2715" w:type="dxa"/>
            <w:noWrap w:val="0"/>
            <w:vAlign w:val="center"/>
          </w:tcPr>
          <w:p w14:paraId="264E90FD">
            <w:pPr>
              <w:pStyle w:val="20"/>
              <w:spacing w:line="440" w:lineRule="exact"/>
              <w:jc w:val="center"/>
              <w:rPr>
                <w:rFonts w:hint="eastAsia" w:ascii="黑体" w:hAnsi="黑体" w:eastAsia="黑体" w:cs="黑体"/>
                <w:sz w:val="24"/>
                <w:szCs w:val="24"/>
              </w:rPr>
            </w:pPr>
          </w:p>
        </w:tc>
        <w:tc>
          <w:tcPr>
            <w:tcW w:w="1187" w:type="dxa"/>
            <w:noWrap w:val="0"/>
            <w:vAlign w:val="center"/>
          </w:tcPr>
          <w:p w14:paraId="4C2FD712">
            <w:pPr>
              <w:pStyle w:val="20"/>
              <w:spacing w:line="440" w:lineRule="exact"/>
              <w:jc w:val="center"/>
              <w:rPr>
                <w:rFonts w:hint="eastAsia" w:ascii="黑体" w:hAnsi="黑体" w:eastAsia="黑体" w:cs="黑体"/>
                <w:sz w:val="24"/>
                <w:szCs w:val="24"/>
              </w:rPr>
            </w:pPr>
          </w:p>
        </w:tc>
        <w:tc>
          <w:tcPr>
            <w:tcW w:w="1237" w:type="dxa"/>
            <w:noWrap w:val="0"/>
            <w:vAlign w:val="center"/>
          </w:tcPr>
          <w:p w14:paraId="75E81F13">
            <w:pPr>
              <w:pStyle w:val="20"/>
              <w:spacing w:line="440" w:lineRule="exact"/>
              <w:jc w:val="center"/>
              <w:rPr>
                <w:rFonts w:hint="eastAsia" w:ascii="黑体" w:hAnsi="黑体" w:eastAsia="黑体" w:cs="黑体"/>
                <w:sz w:val="24"/>
                <w:szCs w:val="24"/>
              </w:rPr>
            </w:pPr>
          </w:p>
        </w:tc>
      </w:tr>
      <w:tr w14:paraId="3ECAA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76" w:type="dxa"/>
            <w:noWrap w:val="0"/>
            <w:vAlign w:val="center"/>
          </w:tcPr>
          <w:p w14:paraId="5C1B2F3A">
            <w:pPr>
              <w:pStyle w:val="20"/>
              <w:spacing w:line="440" w:lineRule="exact"/>
              <w:jc w:val="center"/>
              <w:rPr>
                <w:rFonts w:hint="eastAsia" w:ascii="黑体" w:hAnsi="黑体" w:eastAsia="黑体" w:cs="黑体"/>
                <w:sz w:val="24"/>
                <w:szCs w:val="24"/>
              </w:rPr>
            </w:pPr>
          </w:p>
        </w:tc>
        <w:tc>
          <w:tcPr>
            <w:tcW w:w="2542" w:type="dxa"/>
            <w:noWrap w:val="0"/>
            <w:vAlign w:val="center"/>
          </w:tcPr>
          <w:p w14:paraId="6786B812">
            <w:pPr>
              <w:pStyle w:val="20"/>
              <w:spacing w:line="440" w:lineRule="exact"/>
              <w:jc w:val="center"/>
              <w:rPr>
                <w:rFonts w:hint="eastAsia" w:ascii="黑体" w:hAnsi="黑体" w:eastAsia="黑体" w:cs="黑体"/>
                <w:sz w:val="24"/>
                <w:szCs w:val="24"/>
              </w:rPr>
            </w:pPr>
          </w:p>
        </w:tc>
        <w:tc>
          <w:tcPr>
            <w:tcW w:w="2715" w:type="dxa"/>
            <w:noWrap w:val="0"/>
            <w:vAlign w:val="center"/>
          </w:tcPr>
          <w:p w14:paraId="6C8131B8">
            <w:pPr>
              <w:pStyle w:val="20"/>
              <w:spacing w:line="440" w:lineRule="exact"/>
              <w:jc w:val="center"/>
              <w:rPr>
                <w:rFonts w:hint="eastAsia" w:ascii="黑体" w:hAnsi="黑体" w:eastAsia="黑体" w:cs="黑体"/>
                <w:sz w:val="24"/>
                <w:szCs w:val="24"/>
              </w:rPr>
            </w:pPr>
          </w:p>
        </w:tc>
        <w:tc>
          <w:tcPr>
            <w:tcW w:w="1187" w:type="dxa"/>
            <w:noWrap w:val="0"/>
            <w:vAlign w:val="center"/>
          </w:tcPr>
          <w:p w14:paraId="341BA36F">
            <w:pPr>
              <w:pStyle w:val="20"/>
              <w:spacing w:line="440" w:lineRule="exact"/>
              <w:jc w:val="center"/>
              <w:rPr>
                <w:rFonts w:hint="eastAsia" w:ascii="黑体" w:hAnsi="黑体" w:eastAsia="黑体" w:cs="黑体"/>
                <w:sz w:val="24"/>
                <w:szCs w:val="24"/>
              </w:rPr>
            </w:pPr>
          </w:p>
        </w:tc>
        <w:tc>
          <w:tcPr>
            <w:tcW w:w="1237" w:type="dxa"/>
            <w:noWrap w:val="0"/>
            <w:vAlign w:val="center"/>
          </w:tcPr>
          <w:p w14:paraId="034DF6F7">
            <w:pPr>
              <w:pStyle w:val="20"/>
              <w:spacing w:line="440" w:lineRule="exact"/>
              <w:jc w:val="center"/>
              <w:rPr>
                <w:rFonts w:hint="eastAsia" w:ascii="黑体" w:hAnsi="黑体" w:eastAsia="黑体" w:cs="黑体"/>
                <w:sz w:val="24"/>
                <w:szCs w:val="24"/>
              </w:rPr>
            </w:pPr>
          </w:p>
        </w:tc>
      </w:tr>
      <w:tr w14:paraId="2259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76" w:type="dxa"/>
            <w:noWrap w:val="0"/>
            <w:vAlign w:val="center"/>
          </w:tcPr>
          <w:p w14:paraId="1363740B">
            <w:pPr>
              <w:pStyle w:val="20"/>
              <w:spacing w:line="440" w:lineRule="exact"/>
              <w:jc w:val="center"/>
              <w:rPr>
                <w:rFonts w:hint="eastAsia" w:ascii="黑体" w:hAnsi="黑体" w:eastAsia="黑体" w:cs="黑体"/>
                <w:sz w:val="24"/>
                <w:szCs w:val="24"/>
              </w:rPr>
            </w:pPr>
          </w:p>
        </w:tc>
        <w:tc>
          <w:tcPr>
            <w:tcW w:w="2542" w:type="dxa"/>
            <w:noWrap w:val="0"/>
            <w:vAlign w:val="center"/>
          </w:tcPr>
          <w:p w14:paraId="647FE20B">
            <w:pPr>
              <w:pStyle w:val="20"/>
              <w:spacing w:line="440" w:lineRule="exact"/>
              <w:jc w:val="center"/>
              <w:rPr>
                <w:rFonts w:hint="eastAsia" w:ascii="黑体" w:hAnsi="黑体" w:eastAsia="黑体" w:cs="黑体"/>
                <w:sz w:val="24"/>
                <w:szCs w:val="24"/>
              </w:rPr>
            </w:pPr>
          </w:p>
        </w:tc>
        <w:tc>
          <w:tcPr>
            <w:tcW w:w="2715" w:type="dxa"/>
            <w:noWrap w:val="0"/>
            <w:vAlign w:val="center"/>
          </w:tcPr>
          <w:p w14:paraId="70A1A8DD">
            <w:pPr>
              <w:pStyle w:val="20"/>
              <w:spacing w:line="440" w:lineRule="exact"/>
              <w:jc w:val="center"/>
              <w:rPr>
                <w:rFonts w:hint="eastAsia" w:ascii="黑体" w:hAnsi="黑体" w:eastAsia="黑体" w:cs="黑体"/>
                <w:sz w:val="24"/>
                <w:szCs w:val="24"/>
              </w:rPr>
            </w:pPr>
          </w:p>
        </w:tc>
        <w:tc>
          <w:tcPr>
            <w:tcW w:w="1187" w:type="dxa"/>
            <w:noWrap w:val="0"/>
            <w:vAlign w:val="center"/>
          </w:tcPr>
          <w:p w14:paraId="2BEAF67C">
            <w:pPr>
              <w:pStyle w:val="20"/>
              <w:spacing w:line="440" w:lineRule="exact"/>
              <w:jc w:val="center"/>
              <w:rPr>
                <w:rFonts w:hint="eastAsia" w:ascii="黑体" w:hAnsi="黑体" w:eastAsia="黑体" w:cs="黑体"/>
                <w:sz w:val="24"/>
                <w:szCs w:val="24"/>
              </w:rPr>
            </w:pPr>
          </w:p>
        </w:tc>
        <w:tc>
          <w:tcPr>
            <w:tcW w:w="1237" w:type="dxa"/>
            <w:noWrap w:val="0"/>
            <w:vAlign w:val="center"/>
          </w:tcPr>
          <w:p w14:paraId="7268DB5F">
            <w:pPr>
              <w:pStyle w:val="20"/>
              <w:spacing w:line="440" w:lineRule="exact"/>
              <w:jc w:val="center"/>
              <w:rPr>
                <w:rFonts w:hint="eastAsia" w:ascii="黑体" w:hAnsi="黑体" w:eastAsia="黑体" w:cs="黑体"/>
                <w:sz w:val="24"/>
                <w:szCs w:val="24"/>
              </w:rPr>
            </w:pPr>
          </w:p>
        </w:tc>
      </w:tr>
      <w:tr w14:paraId="7D3C6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76" w:type="dxa"/>
            <w:noWrap w:val="0"/>
            <w:vAlign w:val="center"/>
          </w:tcPr>
          <w:p w14:paraId="76471F0E">
            <w:pPr>
              <w:pStyle w:val="20"/>
              <w:spacing w:line="440" w:lineRule="exact"/>
              <w:jc w:val="center"/>
              <w:rPr>
                <w:rFonts w:hint="eastAsia" w:ascii="黑体" w:hAnsi="黑体" w:eastAsia="黑体" w:cs="黑体"/>
                <w:sz w:val="24"/>
                <w:szCs w:val="24"/>
              </w:rPr>
            </w:pPr>
          </w:p>
        </w:tc>
        <w:tc>
          <w:tcPr>
            <w:tcW w:w="2542" w:type="dxa"/>
            <w:noWrap w:val="0"/>
            <w:vAlign w:val="center"/>
          </w:tcPr>
          <w:p w14:paraId="01509017">
            <w:pPr>
              <w:pStyle w:val="20"/>
              <w:spacing w:line="440" w:lineRule="exact"/>
              <w:jc w:val="center"/>
              <w:rPr>
                <w:rFonts w:hint="eastAsia" w:ascii="黑体" w:hAnsi="黑体" w:eastAsia="黑体" w:cs="黑体"/>
                <w:sz w:val="24"/>
                <w:szCs w:val="24"/>
              </w:rPr>
            </w:pPr>
          </w:p>
        </w:tc>
        <w:tc>
          <w:tcPr>
            <w:tcW w:w="2715" w:type="dxa"/>
            <w:noWrap w:val="0"/>
            <w:vAlign w:val="center"/>
          </w:tcPr>
          <w:p w14:paraId="4C9924F3">
            <w:pPr>
              <w:pStyle w:val="20"/>
              <w:spacing w:line="440" w:lineRule="exact"/>
              <w:jc w:val="center"/>
              <w:rPr>
                <w:rFonts w:hint="eastAsia" w:ascii="黑体" w:hAnsi="黑体" w:eastAsia="黑体" w:cs="黑体"/>
                <w:sz w:val="24"/>
                <w:szCs w:val="24"/>
              </w:rPr>
            </w:pPr>
          </w:p>
        </w:tc>
        <w:tc>
          <w:tcPr>
            <w:tcW w:w="1187" w:type="dxa"/>
            <w:noWrap w:val="0"/>
            <w:vAlign w:val="center"/>
          </w:tcPr>
          <w:p w14:paraId="3794071B">
            <w:pPr>
              <w:pStyle w:val="20"/>
              <w:spacing w:line="440" w:lineRule="exact"/>
              <w:jc w:val="center"/>
              <w:rPr>
                <w:rFonts w:hint="eastAsia" w:ascii="黑体" w:hAnsi="黑体" w:eastAsia="黑体" w:cs="黑体"/>
                <w:sz w:val="24"/>
                <w:szCs w:val="24"/>
              </w:rPr>
            </w:pPr>
          </w:p>
        </w:tc>
        <w:tc>
          <w:tcPr>
            <w:tcW w:w="1237" w:type="dxa"/>
            <w:noWrap w:val="0"/>
            <w:vAlign w:val="center"/>
          </w:tcPr>
          <w:p w14:paraId="3DA03CFF">
            <w:pPr>
              <w:pStyle w:val="20"/>
              <w:spacing w:line="440" w:lineRule="exact"/>
              <w:jc w:val="center"/>
              <w:rPr>
                <w:rFonts w:hint="eastAsia" w:ascii="黑体" w:hAnsi="黑体" w:eastAsia="黑体" w:cs="黑体"/>
                <w:sz w:val="24"/>
                <w:szCs w:val="24"/>
              </w:rPr>
            </w:pPr>
          </w:p>
        </w:tc>
      </w:tr>
    </w:tbl>
    <w:p w14:paraId="1A3B4262">
      <w:pPr>
        <w:pStyle w:val="20"/>
        <w:spacing w:line="440" w:lineRule="exact"/>
        <w:ind w:firstLine="480" w:firstLineChars="200"/>
        <w:rPr>
          <w:rFonts w:hint="eastAsia" w:ascii="黑体" w:hAnsi="黑体" w:eastAsia="黑体" w:cs="黑体"/>
          <w:sz w:val="24"/>
          <w:szCs w:val="24"/>
        </w:rPr>
      </w:pPr>
    </w:p>
    <w:p w14:paraId="2F408824">
      <w:pPr>
        <w:pStyle w:val="20"/>
        <w:spacing w:line="440" w:lineRule="exact"/>
        <w:ind w:firstLine="420" w:firstLineChars="200"/>
        <w:rPr>
          <w:rFonts w:hint="eastAsia" w:ascii="黑体" w:hAnsi="黑体" w:eastAsia="黑体" w:cs="黑体"/>
        </w:rPr>
      </w:pPr>
      <w:r>
        <w:rPr>
          <w:rFonts w:hint="eastAsia" w:ascii="黑体" w:hAnsi="黑体" w:eastAsia="黑体" w:cs="黑体"/>
        </w:rPr>
        <w:t>说明：如有偏离，则必须注明“偏离”；未注明偏离的，视为完全响应。</w:t>
      </w:r>
    </w:p>
    <w:p w14:paraId="2764F366">
      <w:pPr>
        <w:pStyle w:val="20"/>
        <w:spacing w:line="440" w:lineRule="exact"/>
        <w:ind w:firstLine="420" w:firstLineChars="200"/>
        <w:rPr>
          <w:rFonts w:hint="eastAsia" w:ascii="黑体" w:hAnsi="黑体" w:eastAsia="黑体" w:cs="黑体"/>
        </w:rPr>
      </w:pPr>
    </w:p>
    <w:p w14:paraId="01E86AFB">
      <w:pPr>
        <w:pStyle w:val="20"/>
        <w:spacing w:line="440" w:lineRule="exact"/>
        <w:ind w:firstLine="420" w:firstLineChars="200"/>
        <w:rPr>
          <w:rFonts w:hint="eastAsia" w:ascii="黑体" w:hAnsi="黑体" w:eastAsia="黑体" w:cs="黑体"/>
        </w:rPr>
      </w:pPr>
      <w:r>
        <w:rPr>
          <w:rFonts w:hint="eastAsia" w:ascii="黑体" w:hAnsi="黑体" w:eastAsia="黑体" w:cs="黑体"/>
          <w:lang w:eastAsia="zh-CN"/>
        </w:rPr>
        <w:t>供应商</w:t>
      </w:r>
      <w:r>
        <w:rPr>
          <w:rFonts w:hint="eastAsia" w:ascii="黑体" w:hAnsi="黑体" w:eastAsia="黑体" w:cs="黑体"/>
        </w:rPr>
        <w:t>名称(公章)：________________</w:t>
      </w:r>
    </w:p>
    <w:p w14:paraId="3BC30317">
      <w:pPr>
        <w:pStyle w:val="20"/>
        <w:spacing w:line="440" w:lineRule="exact"/>
        <w:ind w:firstLine="420" w:firstLineChars="200"/>
        <w:rPr>
          <w:rFonts w:hint="eastAsia" w:ascii="黑体" w:hAnsi="黑体" w:eastAsia="黑体" w:cs="黑体"/>
        </w:rPr>
      </w:pPr>
    </w:p>
    <w:p w14:paraId="77FFF4BE">
      <w:pPr>
        <w:pStyle w:val="20"/>
        <w:spacing w:line="440" w:lineRule="exact"/>
        <w:ind w:firstLine="420" w:firstLineChars="200"/>
        <w:rPr>
          <w:rFonts w:hint="eastAsia" w:ascii="黑体" w:hAnsi="黑体" w:eastAsia="黑体" w:cs="黑体"/>
        </w:rPr>
      </w:pPr>
      <w:r>
        <w:rPr>
          <w:rFonts w:hint="eastAsia" w:ascii="黑体" w:hAnsi="黑体" w:eastAsia="黑体" w:cs="黑体"/>
        </w:rPr>
        <w:t>法定代表人或其授权代表(签字或盖章)：________________</w:t>
      </w:r>
    </w:p>
    <w:p w14:paraId="7C09B6D7">
      <w:pPr>
        <w:pStyle w:val="20"/>
        <w:spacing w:line="440" w:lineRule="exact"/>
        <w:ind w:firstLine="420" w:firstLineChars="200"/>
        <w:rPr>
          <w:rFonts w:hint="eastAsia" w:ascii="黑体" w:hAnsi="黑体" w:eastAsia="黑体" w:cs="黑体"/>
        </w:rPr>
      </w:pPr>
    </w:p>
    <w:p w14:paraId="7FDFCBFC">
      <w:pPr>
        <w:pStyle w:val="20"/>
        <w:spacing w:line="440" w:lineRule="exact"/>
        <w:ind w:firstLine="420" w:firstLineChars="200"/>
        <w:rPr>
          <w:rFonts w:hint="eastAsia" w:ascii="黑体" w:hAnsi="黑体" w:eastAsia="黑体" w:cs="黑体"/>
        </w:rPr>
      </w:pPr>
      <w:r>
        <w:rPr>
          <w:rFonts w:hint="eastAsia" w:ascii="黑体" w:hAnsi="黑体" w:eastAsia="黑体" w:cs="黑体"/>
        </w:rPr>
        <w:t>日</w:t>
      </w:r>
      <w:r>
        <w:rPr>
          <w:rFonts w:hint="eastAsia" w:ascii="黑体" w:hAnsi="黑体" w:eastAsia="黑体" w:cs="黑体"/>
          <w:lang w:val="en-US" w:eastAsia="zh-CN"/>
        </w:rPr>
        <w:t xml:space="preserve">  </w:t>
      </w:r>
      <w:r>
        <w:rPr>
          <w:rFonts w:hint="eastAsia" w:ascii="黑体" w:hAnsi="黑体" w:eastAsia="黑体" w:cs="黑体"/>
        </w:rPr>
        <w:t>期：______年____</w:t>
      </w:r>
      <w:r>
        <w:rPr>
          <w:rFonts w:hint="eastAsia" w:ascii="黑体" w:hAnsi="黑体" w:eastAsia="黑体" w:cs="黑体"/>
          <w:lang w:val="en-US" w:eastAsia="zh-CN"/>
        </w:rPr>
        <w:t xml:space="preserve"> </w:t>
      </w:r>
      <w:r>
        <w:rPr>
          <w:rFonts w:hint="eastAsia" w:ascii="黑体" w:hAnsi="黑体" w:eastAsia="黑体" w:cs="黑体"/>
        </w:rPr>
        <w:t>月____日</w:t>
      </w:r>
    </w:p>
    <w:p w14:paraId="1B1BE315">
      <w:pPr>
        <w:rPr>
          <w:rFonts w:hint="eastAsia" w:ascii="黑体" w:hAnsi="黑体" w:eastAsia="黑体" w:cs="黑体"/>
          <w:sz w:val="24"/>
        </w:rPr>
      </w:pPr>
      <w:r>
        <w:rPr>
          <w:rFonts w:hint="eastAsia" w:ascii="黑体" w:hAnsi="黑体" w:eastAsia="黑体" w:cs="黑体"/>
          <w:sz w:val="24"/>
          <w:szCs w:val="24"/>
        </w:rPr>
        <w:br w:type="page"/>
      </w:r>
    </w:p>
    <w:p w14:paraId="1AB28CB0">
      <w:pPr>
        <w:ind w:right="57"/>
        <w:jc w:val="cente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t>六、技术条款偏离表</w:t>
      </w:r>
    </w:p>
    <w:p w14:paraId="34129CA1">
      <w:pPr>
        <w:pStyle w:val="20"/>
        <w:spacing w:line="440" w:lineRule="exact"/>
        <w:ind w:firstLine="630" w:firstLineChars="300"/>
        <w:rPr>
          <w:rFonts w:hint="eastAsia" w:ascii="黑体" w:hAnsi="黑体" w:eastAsia="黑体" w:cs="黑体"/>
        </w:rPr>
      </w:pPr>
    </w:p>
    <w:p w14:paraId="4FD06D39">
      <w:pPr>
        <w:pStyle w:val="20"/>
        <w:spacing w:line="440" w:lineRule="exact"/>
        <w:ind w:firstLine="210" w:firstLineChars="100"/>
        <w:rPr>
          <w:rFonts w:hint="eastAsia" w:ascii="黑体" w:hAnsi="黑体" w:eastAsia="黑体" w:cs="黑体"/>
        </w:rPr>
      </w:pPr>
      <w:r>
        <w:rPr>
          <w:rFonts w:hint="eastAsia" w:ascii="黑体" w:hAnsi="黑体" w:eastAsia="黑体" w:cs="黑体"/>
        </w:rPr>
        <w:t>项目编号：____________________</w:t>
      </w:r>
    </w:p>
    <w:p w14:paraId="6BBDFF9D">
      <w:pPr>
        <w:pStyle w:val="20"/>
        <w:spacing w:line="440" w:lineRule="exact"/>
        <w:ind w:firstLine="630" w:firstLineChars="300"/>
        <w:rPr>
          <w:rFonts w:hint="eastAsia" w:ascii="黑体" w:hAnsi="黑体" w:eastAsia="黑体" w:cs="黑体"/>
        </w:rPr>
      </w:pP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777"/>
        <w:gridCol w:w="1884"/>
        <w:gridCol w:w="1884"/>
        <w:gridCol w:w="988"/>
        <w:gridCol w:w="1441"/>
      </w:tblGrid>
      <w:tr w14:paraId="13ADA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2" w:type="dxa"/>
            <w:noWrap w:val="0"/>
            <w:vAlign w:val="center"/>
          </w:tcPr>
          <w:p w14:paraId="7624ECF2">
            <w:pPr>
              <w:pStyle w:val="20"/>
              <w:spacing w:line="440" w:lineRule="exact"/>
              <w:jc w:val="center"/>
              <w:rPr>
                <w:rFonts w:hint="eastAsia" w:ascii="黑体" w:hAnsi="黑体" w:eastAsia="黑体" w:cs="黑体"/>
                <w:lang w:eastAsia="zh-CN"/>
              </w:rPr>
            </w:pPr>
            <w:r>
              <w:rPr>
                <w:rFonts w:hint="eastAsia" w:ascii="黑体" w:hAnsi="黑体" w:eastAsia="黑体" w:cs="黑体"/>
                <w:lang w:val="en-US" w:eastAsia="zh-CN"/>
              </w:rPr>
              <w:t>序号</w:t>
            </w:r>
          </w:p>
        </w:tc>
        <w:tc>
          <w:tcPr>
            <w:tcW w:w="1777" w:type="dxa"/>
            <w:noWrap w:val="0"/>
            <w:vAlign w:val="center"/>
          </w:tcPr>
          <w:p w14:paraId="6F121DB2">
            <w:pPr>
              <w:pStyle w:val="20"/>
              <w:spacing w:line="440" w:lineRule="exact"/>
              <w:jc w:val="center"/>
              <w:rPr>
                <w:rFonts w:hint="eastAsia" w:ascii="黑体" w:hAnsi="黑体" w:eastAsia="黑体" w:cs="黑体"/>
              </w:rPr>
            </w:pPr>
            <w:r>
              <w:rPr>
                <w:rFonts w:hint="eastAsia" w:ascii="黑体" w:hAnsi="黑体" w:eastAsia="黑体" w:cs="黑体"/>
              </w:rPr>
              <w:t>货物名称</w:t>
            </w:r>
          </w:p>
        </w:tc>
        <w:tc>
          <w:tcPr>
            <w:tcW w:w="1884" w:type="dxa"/>
            <w:noWrap w:val="0"/>
            <w:vAlign w:val="center"/>
          </w:tcPr>
          <w:p w14:paraId="7B5583B7">
            <w:pPr>
              <w:pStyle w:val="20"/>
              <w:spacing w:line="440" w:lineRule="exact"/>
              <w:jc w:val="center"/>
              <w:rPr>
                <w:rFonts w:hint="eastAsia" w:ascii="黑体" w:hAnsi="黑体" w:eastAsia="黑体" w:cs="黑体"/>
              </w:rPr>
            </w:pPr>
            <w:r>
              <w:rPr>
                <w:rFonts w:hint="eastAsia" w:ascii="黑体" w:hAnsi="黑体" w:eastAsia="黑体" w:cs="黑体"/>
              </w:rPr>
              <w:t>技术指标要求</w:t>
            </w:r>
          </w:p>
        </w:tc>
        <w:tc>
          <w:tcPr>
            <w:tcW w:w="1884" w:type="dxa"/>
            <w:noWrap w:val="0"/>
            <w:vAlign w:val="center"/>
          </w:tcPr>
          <w:p w14:paraId="611AE87F">
            <w:pPr>
              <w:pStyle w:val="20"/>
              <w:spacing w:line="440" w:lineRule="exact"/>
              <w:jc w:val="center"/>
              <w:rPr>
                <w:rFonts w:hint="eastAsia" w:ascii="黑体" w:hAnsi="黑体" w:eastAsia="黑体" w:cs="黑体"/>
              </w:rPr>
            </w:pPr>
            <w:r>
              <w:rPr>
                <w:rFonts w:hint="eastAsia" w:ascii="黑体" w:hAnsi="黑体" w:eastAsia="黑体" w:cs="黑体"/>
                <w:lang w:eastAsia="zh-CN"/>
              </w:rPr>
              <w:t>投标</w:t>
            </w:r>
            <w:r>
              <w:rPr>
                <w:rFonts w:hint="eastAsia" w:ascii="黑体" w:hAnsi="黑体" w:eastAsia="黑体" w:cs="黑体"/>
              </w:rPr>
              <w:t>响应情况</w:t>
            </w:r>
          </w:p>
        </w:tc>
        <w:tc>
          <w:tcPr>
            <w:tcW w:w="988" w:type="dxa"/>
            <w:noWrap w:val="0"/>
            <w:vAlign w:val="center"/>
          </w:tcPr>
          <w:p w14:paraId="22996304">
            <w:pPr>
              <w:pStyle w:val="20"/>
              <w:spacing w:line="440" w:lineRule="exact"/>
              <w:jc w:val="center"/>
              <w:rPr>
                <w:rFonts w:hint="eastAsia" w:ascii="黑体" w:hAnsi="黑体" w:eastAsia="黑体" w:cs="黑体"/>
              </w:rPr>
            </w:pPr>
            <w:r>
              <w:rPr>
                <w:rFonts w:hint="eastAsia" w:ascii="黑体" w:hAnsi="黑体" w:eastAsia="黑体" w:cs="黑体"/>
              </w:rPr>
              <w:t>偏离</w:t>
            </w:r>
          </w:p>
        </w:tc>
        <w:tc>
          <w:tcPr>
            <w:tcW w:w="1441" w:type="dxa"/>
            <w:noWrap w:val="0"/>
            <w:vAlign w:val="center"/>
          </w:tcPr>
          <w:p w14:paraId="6DBE8C7D">
            <w:pPr>
              <w:pStyle w:val="20"/>
              <w:spacing w:line="440" w:lineRule="exact"/>
              <w:jc w:val="center"/>
              <w:rPr>
                <w:rFonts w:hint="eastAsia" w:ascii="黑体" w:hAnsi="黑体" w:eastAsia="黑体" w:cs="黑体"/>
              </w:rPr>
            </w:pPr>
            <w:r>
              <w:rPr>
                <w:rFonts w:hint="eastAsia" w:ascii="黑体" w:hAnsi="黑体" w:eastAsia="黑体" w:cs="黑体"/>
              </w:rPr>
              <w:t>说明</w:t>
            </w:r>
          </w:p>
        </w:tc>
      </w:tr>
      <w:tr w14:paraId="0812D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2" w:type="dxa"/>
            <w:noWrap w:val="0"/>
            <w:vAlign w:val="center"/>
          </w:tcPr>
          <w:p w14:paraId="2A8F2841">
            <w:pPr>
              <w:pStyle w:val="20"/>
              <w:spacing w:line="440" w:lineRule="exact"/>
              <w:jc w:val="center"/>
              <w:rPr>
                <w:rFonts w:hint="eastAsia" w:ascii="黑体" w:hAnsi="黑体" w:eastAsia="黑体" w:cs="黑体"/>
              </w:rPr>
            </w:pPr>
          </w:p>
        </w:tc>
        <w:tc>
          <w:tcPr>
            <w:tcW w:w="1777" w:type="dxa"/>
            <w:noWrap w:val="0"/>
            <w:vAlign w:val="center"/>
          </w:tcPr>
          <w:p w14:paraId="09053510">
            <w:pPr>
              <w:pStyle w:val="20"/>
              <w:spacing w:line="440" w:lineRule="exact"/>
              <w:jc w:val="center"/>
              <w:rPr>
                <w:rFonts w:hint="eastAsia" w:ascii="黑体" w:hAnsi="黑体" w:eastAsia="黑体" w:cs="黑体"/>
              </w:rPr>
            </w:pPr>
          </w:p>
        </w:tc>
        <w:tc>
          <w:tcPr>
            <w:tcW w:w="1884" w:type="dxa"/>
            <w:noWrap w:val="0"/>
            <w:vAlign w:val="center"/>
          </w:tcPr>
          <w:p w14:paraId="22C77514">
            <w:pPr>
              <w:pStyle w:val="20"/>
              <w:spacing w:line="440" w:lineRule="exact"/>
              <w:jc w:val="center"/>
              <w:rPr>
                <w:rFonts w:hint="eastAsia" w:ascii="黑体" w:hAnsi="黑体" w:eastAsia="黑体" w:cs="黑体"/>
              </w:rPr>
            </w:pPr>
          </w:p>
        </w:tc>
        <w:tc>
          <w:tcPr>
            <w:tcW w:w="1884" w:type="dxa"/>
            <w:noWrap w:val="0"/>
            <w:vAlign w:val="center"/>
          </w:tcPr>
          <w:p w14:paraId="6879C742">
            <w:pPr>
              <w:pStyle w:val="20"/>
              <w:spacing w:line="440" w:lineRule="exact"/>
              <w:jc w:val="center"/>
              <w:rPr>
                <w:rFonts w:hint="eastAsia" w:ascii="黑体" w:hAnsi="黑体" w:eastAsia="黑体" w:cs="黑体"/>
              </w:rPr>
            </w:pPr>
          </w:p>
        </w:tc>
        <w:tc>
          <w:tcPr>
            <w:tcW w:w="988" w:type="dxa"/>
            <w:noWrap w:val="0"/>
            <w:vAlign w:val="center"/>
          </w:tcPr>
          <w:p w14:paraId="2EE44333">
            <w:pPr>
              <w:pStyle w:val="20"/>
              <w:spacing w:line="440" w:lineRule="exact"/>
              <w:jc w:val="center"/>
              <w:rPr>
                <w:rFonts w:hint="eastAsia" w:ascii="黑体" w:hAnsi="黑体" w:eastAsia="黑体" w:cs="黑体"/>
              </w:rPr>
            </w:pPr>
          </w:p>
        </w:tc>
        <w:tc>
          <w:tcPr>
            <w:tcW w:w="1441" w:type="dxa"/>
            <w:noWrap w:val="0"/>
            <w:vAlign w:val="center"/>
          </w:tcPr>
          <w:p w14:paraId="6F8B1F59">
            <w:pPr>
              <w:pStyle w:val="20"/>
              <w:spacing w:line="440" w:lineRule="exact"/>
              <w:jc w:val="center"/>
              <w:rPr>
                <w:rFonts w:hint="eastAsia" w:ascii="黑体" w:hAnsi="黑体" w:eastAsia="黑体" w:cs="黑体"/>
              </w:rPr>
            </w:pPr>
          </w:p>
        </w:tc>
      </w:tr>
      <w:tr w14:paraId="532E5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2" w:type="dxa"/>
            <w:noWrap w:val="0"/>
            <w:vAlign w:val="center"/>
          </w:tcPr>
          <w:p w14:paraId="5744A6A1">
            <w:pPr>
              <w:pStyle w:val="20"/>
              <w:spacing w:line="440" w:lineRule="exact"/>
              <w:jc w:val="center"/>
              <w:rPr>
                <w:rFonts w:hint="eastAsia" w:ascii="黑体" w:hAnsi="黑体" w:eastAsia="黑体" w:cs="黑体"/>
              </w:rPr>
            </w:pPr>
          </w:p>
        </w:tc>
        <w:tc>
          <w:tcPr>
            <w:tcW w:w="1777" w:type="dxa"/>
            <w:noWrap w:val="0"/>
            <w:vAlign w:val="center"/>
          </w:tcPr>
          <w:p w14:paraId="565406E3">
            <w:pPr>
              <w:pStyle w:val="20"/>
              <w:spacing w:line="440" w:lineRule="exact"/>
              <w:jc w:val="center"/>
              <w:rPr>
                <w:rFonts w:hint="eastAsia" w:ascii="黑体" w:hAnsi="黑体" w:eastAsia="黑体" w:cs="黑体"/>
              </w:rPr>
            </w:pPr>
          </w:p>
        </w:tc>
        <w:tc>
          <w:tcPr>
            <w:tcW w:w="1884" w:type="dxa"/>
            <w:noWrap w:val="0"/>
            <w:vAlign w:val="center"/>
          </w:tcPr>
          <w:p w14:paraId="515D57B5">
            <w:pPr>
              <w:pStyle w:val="20"/>
              <w:spacing w:line="440" w:lineRule="exact"/>
              <w:jc w:val="center"/>
              <w:rPr>
                <w:rFonts w:hint="eastAsia" w:ascii="黑体" w:hAnsi="黑体" w:eastAsia="黑体" w:cs="黑体"/>
              </w:rPr>
            </w:pPr>
          </w:p>
        </w:tc>
        <w:tc>
          <w:tcPr>
            <w:tcW w:w="1884" w:type="dxa"/>
            <w:noWrap w:val="0"/>
            <w:vAlign w:val="center"/>
          </w:tcPr>
          <w:p w14:paraId="77BAC669">
            <w:pPr>
              <w:pStyle w:val="20"/>
              <w:spacing w:line="440" w:lineRule="exact"/>
              <w:jc w:val="center"/>
              <w:rPr>
                <w:rFonts w:hint="eastAsia" w:ascii="黑体" w:hAnsi="黑体" w:eastAsia="黑体" w:cs="黑体"/>
              </w:rPr>
            </w:pPr>
          </w:p>
        </w:tc>
        <w:tc>
          <w:tcPr>
            <w:tcW w:w="988" w:type="dxa"/>
            <w:noWrap w:val="0"/>
            <w:vAlign w:val="center"/>
          </w:tcPr>
          <w:p w14:paraId="7603623B">
            <w:pPr>
              <w:pStyle w:val="20"/>
              <w:spacing w:line="440" w:lineRule="exact"/>
              <w:jc w:val="center"/>
              <w:rPr>
                <w:rFonts w:hint="eastAsia" w:ascii="黑体" w:hAnsi="黑体" w:eastAsia="黑体" w:cs="黑体"/>
              </w:rPr>
            </w:pPr>
          </w:p>
        </w:tc>
        <w:tc>
          <w:tcPr>
            <w:tcW w:w="1441" w:type="dxa"/>
            <w:noWrap w:val="0"/>
            <w:vAlign w:val="center"/>
          </w:tcPr>
          <w:p w14:paraId="1081F418">
            <w:pPr>
              <w:pStyle w:val="20"/>
              <w:spacing w:line="440" w:lineRule="exact"/>
              <w:jc w:val="center"/>
              <w:rPr>
                <w:rFonts w:hint="eastAsia" w:ascii="黑体" w:hAnsi="黑体" w:eastAsia="黑体" w:cs="黑体"/>
              </w:rPr>
            </w:pPr>
          </w:p>
        </w:tc>
      </w:tr>
      <w:tr w14:paraId="52FF2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2" w:type="dxa"/>
            <w:noWrap w:val="0"/>
            <w:vAlign w:val="center"/>
          </w:tcPr>
          <w:p w14:paraId="07746149">
            <w:pPr>
              <w:pStyle w:val="20"/>
              <w:spacing w:line="440" w:lineRule="exact"/>
              <w:jc w:val="center"/>
              <w:rPr>
                <w:rFonts w:hint="eastAsia" w:ascii="黑体" w:hAnsi="黑体" w:eastAsia="黑体" w:cs="黑体"/>
              </w:rPr>
            </w:pPr>
          </w:p>
        </w:tc>
        <w:tc>
          <w:tcPr>
            <w:tcW w:w="1777" w:type="dxa"/>
            <w:noWrap w:val="0"/>
            <w:vAlign w:val="center"/>
          </w:tcPr>
          <w:p w14:paraId="2227DCCB">
            <w:pPr>
              <w:pStyle w:val="20"/>
              <w:spacing w:line="440" w:lineRule="exact"/>
              <w:jc w:val="center"/>
              <w:rPr>
                <w:rFonts w:hint="eastAsia" w:ascii="黑体" w:hAnsi="黑体" w:eastAsia="黑体" w:cs="黑体"/>
              </w:rPr>
            </w:pPr>
          </w:p>
        </w:tc>
        <w:tc>
          <w:tcPr>
            <w:tcW w:w="1884" w:type="dxa"/>
            <w:noWrap w:val="0"/>
            <w:vAlign w:val="center"/>
          </w:tcPr>
          <w:p w14:paraId="1F06EFED">
            <w:pPr>
              <w:pStyle w:val="20"/>
              <w:spacing w:line="440" w:lineRule="exact"/>
              <w:jc w:val="center"/>
              <w:rPr>
                <w:rFonts w:hint="eastAsia" w:ascii="黑体" w:hAnsi="黑体" w:eastAsia="黑体" w:cs="黑体"/>
              </w:rPr>
            </w:pPr>
          </w:p>
        </w:tc>
        <w:tc>
          <w:tcPr>
            <w:tcW w:w="1884" w:type="dxa"/>
            <w:noWrap w:val="0"/>
            <w:vAlign w:val="center"/>
          </w:tcPr>
          <w:p w14:paraId="6535CD5A">
            <w:pPr>
              <w:pStyle w:val="20"/>
              <w:spacing w:line="440" w:lineRule="exact"/>
              <w:jc w:val="center"/>
              <w:rPr>
                <w:rFonts w:hint="eastAsia" w:ascii="黑体" w:hAnsi="黑体" w:eastAsia="黑体" w:cs="黑体"/>
              </w:rPr>
            </w:pPr>
          </w:p>
        </w:tc>
        <w:tc>
          <w:tcPr>
            <w:tcW w:w="988" w:type="dxa"/>
            <w:noWrap w:val="0"/>
            <w:vAlign w:val="center"/>
          </w:tcPr>
          <w:p w14:paraId="5130DFCC">
            <w:pPr>
              <w:pStyle w:val="20"/>
              <w:spacing w:line="440" w:lineRule="exact"/>
              <w:jc w:val="center"/>
              <w:rPr>
                <w:rFonts w:hint="eastAsia" w:ascii="黑体" w:hAnsi="黑体" w:eastAsia="黑体" w:cs="黑体"/>
              </w:rPr>
            </w:pPr>
          </w:p>
        </w:tc>
        <w:tc>
          <w:tcPr>
            <w:tcW w:w="1441" w:type="dxa"/>
            <w:noWrap w:val="0"/>
            <w:vAlign w:val="center"/>
          </w:tcPr>
          <w:p w14:paraId="5DE11B77">
            <w:pPr>
              <w:pStyle w:val="20"/>
              <w:spacing w:line="440" w:lineRule="exact"/>
              <w:jc w:val="center"/>
              <w:rPr>
                <w:rFonts w:hint="eastAsia" w:ascii="黑体" w:hAnsi="黑体" w:eastAsia="黑体" w:cs="黑体"/>
              </w:rPr>
            </w:pPr>
          </w:p>
        </w:tc>
      </w:tr>
      <w:tr w14:paraId="5484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2" w:type="dxa"/>
            <w:noWrap w:val="0"/>
            <w:vAlign w:val="center"/>
          </w:tcPr>
          <w:p w14:paraId="1041E164">
            <w:pPr>
              <w:pStyle w:val="20"/>
              <w:spacing w:line="440" w:lineRule="exact"/>
              <w:jc w:val="center"/>
              <w:rPr>
                <w:rFonts w:hint="eastAsia" w:ascii="黑体" w:hAnsi="黑体" w:eastAsia="黑体" w:cs="黑体"/>
              </w:rPr>
            </w:pPr>
          </w:p>
        </w:tc>
        <w:tc>
          <w:tcPr>
            <w:tcW w:w="1777" w:type="dxa"/>
            <w:noWrap w:val="0"/>
            <w:vAlign w:val="center"/>
          </w:tcPr>
          <w:p w14:paraId="658F7E49">
            <w:pPr>
              <w:pStyle w:val="20"/>
              <w:spacing w:line="440" w:lineRule="exact"/>
              <w:jc w:val="center"/>
              <w:rPr>
                <w:rFonts w:hint="eastAsia" w:ascii="黑体" w:hAnsi="黑体" w:eastAsia="黑体" w:cs="黑体"/>
              </w:rPr>
            </w:pPr>
          </w:p>
        </w:tc>
        <w:tc>
          <w:tcPr>
            <w:tcW w:w="1884" w:type="dxa"/>
            <w:noWrap w:val="0"/>
            <w:vAlign w:val="center"/>
          </w:tcPr>
          <w:p w14:paraId="5DEA81CA">
            <w:pPr>
              <w:pStyle w:val="20"/>
              <w:spacing w:line="440" w:lineRule="exact"/>
              <w:jc w:val="center"/>
              <w:rPr>
                <w:rFonts w:hint="eastAsia" w:ascii="黑体" w:hAnsi="黑体" w:eastAsia="黑体" w:cs="黑体"/>
              </w:rPr>
            </w:pPr>
          </w:p>
        </w:tc>
        <w:tc>
          <w:tcPr>
            <w:tcW w:w="1884" w:type="dxa"/>
            <w:noWrap w:val="0"/>
            <w:vAlign w:val="center"/>
          </w:tcPr>
          <w:p w14:paraId="0A1964DB">
            <w:pPr>
              <w:pStyle w:val="20"/>
              <w:spacing w:line="440" w:lineRule="exact"/>
              <w:jc w:val="center"/>
              <w:rPr>
                <w:rFonts w:hint="eastAsia" w:ascii="黑体" w:hAnsi="黑体" w:eastAsia="黑体" w:cs="黑体"/>
              </w:rPr>
            </w:pPr>
          </w:p>
        </w:tc>
        <w:tc>
          <w:tcPr>
            <w:tcW w:w="988" w:type="dxa"/>
            <w:noWrap w:val="0"/>
            <w:vAlign w:val="center"/>
          </w:tcPr>
          <w:p w14:paraId="4929512E">
            <w:pPr>
              <w:pStyle w:val="20"/>
              <w:spacing w:line="440" w:lineRule="exact"/>
              <w:jc w:val="center"/>
              <w:rPr>
                <w:rFonts w:hint="eastAsia" w:ascii="黑体" w:hAnsi="黑体" w:eastAsia="黑体" w:cs="黑体"/>
              </w:rPr>
            </w:pPr>
          </w:p>
        </w:tc>
        <w:tc>
          <w:tcPr>
            <w:tcW w:w="1441" w:type="dxa"/>
            <w:noWrap w:val="0"/>
            <w:vAlign w:val="center"/>
          </w:tcPr>
          <w:p w14:paraId="6479DD5A">
            <w:pPr>
              <w:pStyle w:val="20"/>
              <w:spacing w:line="440" w:lineRule="exact"/>
              <w:jc w:val="center"/>
              <w:rPr>
                <w:rFonts w:hint="eastAsia" w:ascii="黑体" w:hAnsi="黑体" w:eastAsia="黑体" w:cs="黑体"/>
              </w:rPr>
            </w:pPr>
          </w:p>
        </w:tc>
      </w:tr>
      <w:tr w14:paraId="78BF5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2" w:type="dxa"/>
            <w:noWrap w:val="0"/>
            <w:vAlign w:val="center"/>
          </w:tcPr>
          <w:p w14:paraId="44A1D180">
            <w:pPr>
              <w:pStyle w:val="20"/>
              <w:spacing w:line="440" w:lineRule="exact"/>
              <w:jc w:val="center"/>
              <w:rPr>
                <w:rFonts w:hint="eastAsia" w:ascii="黑体" w:hAnsi="黑体" w:eastAsia="黑体" w:cs="黑体"/>
              </w:rPr>
            </w:pPr>
          </w:p>
        </w:tc>
        <w:tc>
          <w:tcPr>
            <w:tcW w:w="1777" w:type="dxa"/>
            <w:noWrap w:val="0"/>
            <w:vAlign w:val="center"/>
          </w:tcPr>
          <w:p w14:paraId="61CC2FB5">
            <w:pPr>
              <w:pStyle w:val="20"/>
              <w:spacing w:line="440" w:lineRule="exact"/>
              <w:jc w:val="center"/>
              <w:rPr>
                <w:rFonts w:hint="eastAsia" w:ascii="黑体" w:hAnsi="黑体" w:eastAsia="黑体" w:cs="黑体"/>
              </w:rPr>
            </w:pPr>
          </w:p>
        </w:tc>
        <w:tc>
          <w:tcPr>
            <w:tcW w:w="1884" w:type="dxa"/>
            <w:noWrap w:val="0"/>
            <w:vAlign w:val="center"/>
          </w:tcPr>
          <w:p w14:paraId="0D3D7A17">
            <w:pPr>
              <w:pStyle w:val="20"/>
              <w:spacing w:line="440" w:lineRule="exact"/>
              <w:jc w:val="center"/>
              <w:rPr>
                <w:rFonts w:hint="eastAsia" w:ascii="黑体" w:hAnsi="黑体" w:eastAsia="黑体" w:cs="黑体"/>
              </w:rPr>
            </w:pPr>
          </w:p>
        </w:tc>
        <w:tc>
          <w:tcPr>
            <w:tcW w:w="1884" w:type="dxa"/>
            <w:noWrap w:val="0"/>
            <w:vAlign w:val="center"/>
          </w:tcPr>
          <w:p w14:paraId="570F39FA">
            <w:pPr>
              <w:pStyle w:val="20"/>
              <w:spacing w:line="440" w:lineRule="exact"/>
              <w:jc w:val="center"/>
              <w:rPr>
                <w:rFonts w:hint="eastAsia" w:ascii="黑体" w:hAnsi="黑体" w:eastAsia="黑体" w:cs="黑体"/>
              </w:rPr>
            </w:pPr>
          </w:p>
        </w:tc>
        <w:tc>
          <w:tcPr>
            <w:tcW w:w="988" w:type="dxa"/>
            <w:noWrap w:val="0"/>
            <w:vAlign w:val="center"/>
          </w:tcPr>
          <w:p w14:paraId="2A802F4B">
            <w:pPr>
              <w:pStyle w:val="20"/>
              <w:spacing w:line="440" w:lineRule="exact"/>
              <w:jc w:val="center"/>
              <w:rPr>
                <w:rFonts w:hint="eastAsia" w:ascii="黑体" w:hAnsi="黑体" w:eastAsia="黑体" w:cs="黑体"/>
              </w:rPr>
            </w:pPr>
          </w:p>
        </w:tc>
        <w:tc>
          <w:tcPr>
            <w:tcW w:w="1441" w:type="dxa"/>
            <w:noWrap w:val="0"/>
            <w:vAlign w:val="center"/>
          </w:tcPr>
          <w:p w14:paraId="48C31D38">
            <w:pPr>
              <w:pStyle w:val="20"/>
              <w:spacing w:line="440" w:lineRule="exact"/>
              <w:jc w:val="center"/>
              <w:rPr>
                <w:rFonts w:hint="eastAsia" w:ascii="黑体" w:hAnsi="黑体" w:eastAsia="黑体" w:cs="黑体"/>
              </w:rPr>
            </w:pPr>
          </w:p>
        </w:tc>
      </w:tr>
      <w:tr w14:paraId="2FF27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62" w:type="dxa"/>
            <w:noWrap w:val="0"/>
            <w:vAlign w:val="center"/>
          </w:tcPr>
          <w:p w14:paraId="7676BC99">
            <w:pPr>
              <w:pStyle w:val="20"/>
              <w:spacing w:line="440" w:lineRule="exact"/>
              <w:jc w:val="center"/>
              <w:rPr>
                <w:rFonts w:hint="eastAsia" w:ascii="黑体" w:hAnsi="黑体" w:eastAsia="黑体" w:cs="黑体"/>
              </w:rPr>
            </w:pPr>
          </w:p>
        </w:tc>
        <w:tc>
          <w:tcPr>
            <w:tcW w:w="1777" w:type="dxa"/>
            <w:noWrap w:val="0"/>
            <w:vAlign w:val="center"/>
          </w:tcPr>
          <w:p w14:paraId="672EED52">
            <w:pPr>
              <w:pStyle w:val="20"/>
              <w:spacing w:line="440" w:lineRule="exact"/>
              <w:jc w:val="center"/>
              <w:rPr>
                <w:rFonts w:hint="eastAsia" w:ascii="黑体" w:hAnsi="黑体" w:eastAsia="黑体" w:cs="黑体"/>
              </w:rPr>
            </w:pPr>
          </w:p>
        </w:tc>
        <w:tc>
          <w:tcPr>
            <w:tcW w:w="1884" w:type="dxa"/>
            <w:noWrap w:val="0"/>
            <w:vAlign w:val="center"/>
          </w:tcPr>
          <w:p w14:paraId="66BDD37E">
            <w:pPr>
              <w:pStyle w:val="20"/>
              <w:spacing w:line="440" w:lineRule="exact"/>
              <w:jc w:val="center"/>
              <w:rPr>
                <w:rFonts w:hint="eastAsia" w:ascii="黑体" w:hAnsi="黑体" w:eastAsia="黑体" w:cs="黑体"/>
              </w:rPr>
            </w:pPr>
          </w:p>
        </w:tc>
        <w:tc>
          <w:tcPr>
            <w:tcW w:w="1884" w:type="dxa"/>
            <w:noWrap w:val="0"/>
            <w:vAlign w:val="center"/>
          </w:tcPr>
          <w:p w14:paraId="19C27BC4">
            <w:pPr>
              <w:pStyle w:val="20"/>
              <w:spacing w:line="440" w:lineRule="exact"/>
              <w:jc w:val="center"/>
              <w:rPr>
                <w:rFonts w:hint="eastAsia" w:ascii="黑体" w:hAnsi="黑体" w:eastAsia="黑体" w:cs="黑体"/>
              </w:rPr>
            </w:pPr>
          </w:p>
        </w:tc>
        <w:tc>
          <w:tcPr>
            <w:tcW w:w="988" w:type="dxa"/>
            <w:noWrap w:val="0"/>
            <w:vAlign w:val="center"/>
          </w:tcPr>
          <w:p w14:paraId="1E697008">
            <w:pPr>
              <w:pStyle w:val="20"/>
              <w:spacing w:line="440" w:lineRule="exact"/>
              <w:jc w:val="center"/>
              <w:rPr>
                <w:rFonts w:hint="eastAsia" w:ascii="黑体" w:hAnsi="黑体" w:eastAsia="黑体" w:cs="黑体"/>
              </w:rPr>
            </w:pPr>
          </w:p>
        </w:tc>
        <w:tc>
          <w:tcPr>
            <w:tcW w:w="1441" w:type="dxa"/>
            <w:noWrap w:val="0"/>
            <w:vAlign w:val="center"/>
          </w:tcPr>
          <w:p w14:paraId="4E56BF10">
            <w:pPr>
              <w:pStyle w:val="20"/>
              <w:spacing w:line="440" w:lineRule="exact"/>
              <w:jc w:val="center"/>
              <w:rPr>
                <w:rFonts w:hint="eastAsia" w:ascii="黑体" w:hAnsi="黑体" w:eastAsia="黑体" w:cs="黑体"/>
              </w:rPr>
            </w:pPr>
          </w:p>
        </w:tc>
      </w:tr>
    </w:tbl>
    <w:p w14:paraId="1E32D75F">
      <w:pPr>
        <w:pStyle w:val="20"/>
        <w:spacing w:line="440" w:lineRule="exact"/>
        <w:ind w:firstLine="420" w:firstLineChars="200"/>
        <w:rPr>
          <w:rFonts w:hint="eastAsia" w:ascii="黑体" w:hAnsi="黑体" w:eastAsia="黑体" w:cs="黑体"/>
        </w:rPr>
      </w:pPr>
    </w:p>
    <w:p w14:paraId="18B6E516">
      <w:pPr>
        <w:pStyle w:val="20"/>
        <w:spacing w:line="440" w:lineRule="exact"/>
        <w:ind w:firstLine="420" w:firstLineChars="200"/>
        <w:rPr>
          <w:rFonts w:hint="eastAsia" w:ascii="黑体" w:hAnsi="黑体" w:eastAsia="黑体" w:cs="黑体"/>
        </w:rPr>
      </w:pPr>
      <w:r>
        <w:rPr>
          <w:rFonts w:hint="eastAsia" w:ascii="黑体" w:hAnsi="黑体" w:eastAsia="黑体" w:cs="黑体"/>
        </w:rPr>
        <w:t>说明：在偏离项必须注明正偏离、负偏离或无偏离。</w:t>
      </w:r>
    </w:p>
    <w:p w14:paraId="4272A1BD">
      <w:pPr>
        <w:pStyle w:val="20"/>
        <w:spacing w:line="440" w:lineRule="exact"/>
        <w:ind w:firstLine="420" w:firstLineChars="200"/>
        <w:rPr>
          <w:rFonts w:hint="eastAsia" w:ascii="黑体" w:hAnsi="黑体" w:eastAsia="黑体" w:cs="黑体"/>
        </w:rPr>
      </w:pPr>
    </w:p>
    <w:p w14:paraId="1B3E28FD">
      <w:pPr>
        <w:pStyle w:val="20"/>
        <w:spacing w:line="440" w:lineRule="exact"/>
        <w:ind w:firstLine="420" w:firstLineChars="200"/>
        <w:rPr>
          <w:rFonts w:hint="eastAsia" w:ascii="黑体" w:hAnsi="黑体" w:eastAsia="黑体" w:cs="黑体"/>
        </w:rPr>
      </w:pPr>
      <w:r>
        <w:rPr>
          <w:rFonts w:hint="eastAsia" w:ascii="黑体" w:hAnsi="黑体" w:eastAsia="黑体" w:cs="黑体"/>
          <w:lang w:eastAsia="zh-CN"/>
        </w:rPr>
        <w:t>供应商</w:t>
      </w:r>
      <w:r>
        <w:rPr>
          <w:rFonts w:hint="eastAsia" w:ascii="黑体" w:hAnsi="黑体" w:eastAsia="黑体" w:cs="黑体"/>
        </w:rPr>
        <w:t>名称(公章)：________________</w:t>
      </w:r>
    </w:p>
    <w:p w14:paraId="197483BA">
      <w:pPr>
        <w:pStyle w:val="20"/>
        <w:spacing w:line="440" w:lineRule="exact"/>
        <w:ind w:firstLine="420" w:firstLineChars="200"/>
        <w:rPr>
          <w:rFonts w:hint="eastAsia" w:ascii="黑体" w:hAnsi="黑体" w:eastAsia="黑体" w:cs="黑体"/>
        </w:rPr>
      </w:pPr>
    </w:p>
    <w:p w14:paraId="266BEBB3">
      <w:pPr>
        <w:pStyle w:val="20"/>
        <w:spacing w:line="440" w:lineRule="exact"/>
        <w:ind w:firstLine="420" w:firstLineChars="200"/>
        <w:rPr>
          <w:rFonts w:hint="eastAsia" w:ascii="黑体" w:hAnsi="黑体" w:eastAsia="黑体" w:cs="黑体"/>
        </w:rPr>
      </w:pPr>
      <w:r>
        <w:rPr>
          <w:rFonts w:hint="eastAsia" w:ascii="黑体" w:hAnsi="黑体" w:eastAsia="黑体" w:cs="黑体"/>
        </w:rPr>
        <w:t>法定代表人或其授权代表(签字或盖章)：________________</w:t>
      </w:r>
    </w:p>
    <w:p w14:paraId="731A315E">
      <w:pPr>
        <w:pStyle w:val="20"/>
        <w:spacing w:line="440" w:lineRule="exact"/>
        <w:ind w:firstLine="420" w:firstLineChars="200"/>
        <w:rPr>
          <w:rFonts w:hint="eastAsia" w:ascii="黑体" w:hAnsi="黑体" w:eastAsia="黑体" w:cs="黑体"/>
        </w:rPr>
      </w:pPr>
    </w:p>
    <w:p w14:paraId="6E486B9C">
      <w:pPr>
        <w:pStyle w:val="20"/>
        <w:spacing w:line="440" w:lineRule="exact"/>
        <w:ind w:firstLine="420" w:firstLineChars="200"/>
        <w:rPr>
          <w:rFonts w:hint="eastAsia" w:ascii="黑体" w:hAnsi="黑体" w:eastAsia="黑体" w:cs="黑体"/>
        </w:rPr>
      </w:pPr>
      <w:r>
        <w:rPr>
          <w:rFonts w:hint="eastAsia" w:ascii="黑体" w:hAnsi="黑体" w:eastAsia="黑体" w:cs="黑体"/>
        </w:rPr>
        <w:t>日期：______年____月____日</w:t>
      </w:r>
    </w:p>
    <w:p w14:paraId="660CC517">
      <w:pPr>
        <w:rPr>
          <w:rFonts w:hint="eastAsia" w:ascii="黑体" w:hAnsi="黑体" w:eastAsia="黑体" w:cs="黑体"/>
        </w:rPr>
      </w:pPr>
      <w:r>
        <w:rPr>
          <w:rFonts w:hint="eastAsia" w:ascii="黑体" w:hAnsi="黑体" w:eastAsia="黑体" w:cs="黑体"/>
        </w:rPr>
        <w:br w:type="page"/>
      </w:r>
    </w:p>
    <w:p w14:paraId="705B74E4">
      <w:pPr>
        <w:pStyle w:val="4"/>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right="0"/>
        <w:jc w:val="center"/>
        <w:textAlignment w:val="auto"/>
        <w:outlineLvl w:val="0"/>
        <w:rPr>
          <w:rFonts w:hint="eastAsia" w:ascii="黑体" w:hAnsi="黑体" w:eastAsia="黑体" w:cs="黑体"/>
          <w:b/>
          <w:bCs w:val="0"/>
          <w:kern w:val="2"/>
          <w:sz w:val="36"/>
          <w:szCs w:val="36"/>
          <w:lang w:val="en-US" w:eastAsia="zh-CN" w:bidi="ar-SA"/>
        </w:rPr>
      </w:pPr>
      <w:bookmarkStart w:id="377" w:name="_Toc31521"/>
      <w:r>
        <w:rPr>
          <w:rFonts w:hint="eastAsia" w:ascii="黑体" w:hAnsi="黑体" w:eastAsia="黑体" w:cs="黑体"/>
          <w:b/>
          <w:bCs w:val="0"/>
          <w:kern w:val="2"/>
          <w:sz w:val="36"/>
          <w:szCs w:val="36"/>
          <w:lang w:val="en-US" w:eastAsia="zh-CN" w:bidi="ar-SA"/>
        </w:rPr>
        <w:t>备品备件清单</w:t>
      </w:r>
      <w:bookmarkEnd w:id="377"/>
    </w:p>
    <w:p w14:paraId="7E05ACD3">
      <w:pPr>
        <w:pStyle w:val="20"/>
        <w:spacing w:line="440" w:lineRule="exact"/>
        <w:ind w:firstLine="420" w:firstLineChars="200"/>
        <w:rPr>
          <w:rFonts w:hint="eastAsia" w:ascii="黑体" w:hAnsi="黑体" w:eastAsia="黑体" w:cs="黑体"/>
        </w:rPr>
      </w:pPr>
    </w:p>
    <w:p w14:paraId="705F67AA">
      <w:pPr>
        <w:pStyle w:val="20"/>
        <w:spacing w:line="440" w:lineRule="exact"/>
        <w:ind w:firstLine="420" w:firstLineChars="200"/>
        <w:rPr>
          <w:rFonts w:hint="eastAsia" w:ascii="黑体" w:hAnsi="黑体" w:eastAsia="黑体" w:cs="黑体"/>
          <w:lang w:val="en-US" w:eastAsia="zh-CN"/>
        </w:rPr>
      </w:pPr>
      <w:r>
        <w:rPr>
          <w:rFonts w:hint="eastAsia" w:ascii="黑体" w:hAnsi="黑体" w:eastAsia="黑体" w:cs="黑体"/>
        </w:rPr>
        <w:t>项目</w:t>
      </w:r>
      <w:r>
        <w:rPr>
          <w:rFonts w:hint="eastAsia" w:ascii="黑体" w:hAnsi="黑体" w:eastAsia="黑体" w:cs="黑体"/>
          <w:lang w:val="en-US" w:eastAsia="zh-CN"/>
        </w:rPr>
        <w:t>名称</w:t>
      </w:r>
      <w:r>
        <w:rPr>
          <w:rFonts w:hint="eastAsia" w:ascii="黑体" w:hAnsi="黑体" w:eastAsia="黑体" w:cs="黑体"/>
        </w:rPr>
        <w:t>：____________________</w:t>
      </w:r>
    </w:p>
    <w:p w14:paraId="2B3D9673">
      <w:pPr>
        <w:pStyle w:val="20"/>
        <w:spacing w:line="440" w:lineRule="exact"/>
        <w:ind w:firstLine="420" w:firstLineChars="200"/>
        <w:rPr>
          <w:rFonts w:hint="eastAsia" w:ascii="黑体" w:hAnsi="黑体" w:eastAsia="黑体" w:cs="黑体"/>
        </w:rPr>
      </w:pPr>
    </w:p>
    <w:tbl>
      <w:tblPr>
        <w:tblStyle w:val="39"/>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2664"/>
        <w:gridCol w:w="2144"/>
        <w:gridCol w:w="1847"/>
      </w:tblGrid>
      <w:tr w14:paraId="55A05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exact"/>
          <w:jc w:val="center"/>
        </w:trPr>
        <w:tc>
          <w:tcPr>
            <w:tcW w:w="2222" w:type="dxa"/>
            <w:vAlign w:val="center"/>
          </w:tcPr>
          <w:p w14:paraId="3D8D6A7C">
            <w:pPr>
              <w:pStyle w:val="20"/>
              <w:spacing w:line="440" w:lineRule="exact"/>
              <w:ind w:firstLine="420" w:firstLineChars="200"/>
              <w:rPr>
                <w:rFonts w:hint="eastAsia" w:ascii="黑体" w:hAnsi="黑体" w:eastAsia="黑体" w:cs="黑体"/>
                <w:lang w:val="en-US" w:eastAsia="en-US"/>
              </w:rPr>
            </w:pPr>
            <w:r>
              <w:rPr>
                <w:rFonts w:hint="eastAsia" w:ascii="黑体" w:hAnsi="黑体" w:eastAsia="黑体" w:cs="黑体"/>
                <w:lang w:val="en-US" w:eastAsia="en-US"/>
              </w:rPr>
              <w:t>备品备件名称</w:t>
            </w:r>
          </w:p>
        </w:tc>
        <w:tc>
          <w:tcPr>
            <w:tcW w:w="2664" w:type="dxa"/>
            <w:vAlign w:val="center"/>
          </w:tcPr>
          <w:p w14:paraId="7BAE103C">
            <w:pPr>
              <w:pStyle w:val="20"/>
              <w:spacing w:line="440" w:lineRule="exact"/>
              <w:ind w:firstLine="420" w:firstLineChars="200"/>
              <w:rPr>
                <w:rFonts w:hint="eastAsia" w:ascii="黑体" w:hAnsi="黑体" w:eastAsia="黑体" w:cs="黑体"/>
                <w:lang w:val="en-US" w:eastAsia="en-US"/>
              </w:rPr>
            </w:pPr>
            <w:r>
              <w:rPr>
                <w:rFonts w:hint="eastAsia" w:ascii="黑体" w:hAnsi="黑体" w:eastAsia="黑体" w:cs="黑体"/>
                <w:lang w:val="en-US" w:eastAsia="en-US"/>
              </w:rPr>
              <w:t>所属设备</w:t>
            </w:r>
          </w:p>
        </w:tc>
        <w:tc>
          <w:tcPr>
            <w:tcW w:w="2144" w:type="dxa"/>
            <w:vAlign w:val="center"/>
          </w:tcPr>
          <w:p w14:paraId="6BD70145">
            <w:pPr>
              <w:pStyle w:val="20"/>
              <w:spacing w:line="440" w:lineRule="exact"/>
              <w:ind w:firstLine="420" w:firstLineChars="200"/>
              <w:rPr>
                <w:rFonts w:hint="eastAsia" w:ascii="黑体" w:hAnsi="黑体" w:eastAsia="黑体" w:cs="黑体"/>
                <w:lang w:val="en-US" w:eastAsia="en-US"/>
              </w:rPr>
            </w:pPr>
            <w:r>
              <w:rPr>
                <w:rFonts w:hint="eastAsia" w:ascii="黑体" w:hAnsi="黑体" w:eastAsia="黑体" w:cs="黑体"/>
                <w:lang w:val="en-US" w:eastAsia="en-US"/>
              </w:rPr>
              <w:t>规格/材质</w:t>
            </w:r>
          </w:p>
        </w:tc>
        <w:tc>
          <w:tcPr>
            <w:tcW w:w="1847" w:type="dxa"/>
            <w:vAlign w:val="center"/>
          </w:tcPr>
          <w:p w14:paraId="46E57027">
            <w:pPr>
              <w:pStyle w:val="20"/>
              <w:spacing w:line="440" w:lineRule="exact"/>
              <w:ind w:firstLine="420" w:firstLineChars="200"/>
              <w:rPr>
                <w:rFonts w:hint="eastAsia" w:ascii="黑体" w:hAnsi="黑体" w:eastAsia="黑体" w:cs="黑体"/>
                <w:lang w:val="en-US" w:eastAsia="en-US"/>
              </w:rPr>
            </w:pPr>
            <w:r>
              <w:rPr>
                <w:rFonts w:hint="eastAsia" w:ascii="黑体" w:hAnsi="黑体" w:eastAsia="黑体" w:cs="黑体"/>
                <w:lang w:val="en-US" w:eastAsia="en-US"/>
              </w:rPr>
              <w:t>数量</w:t>
            </w:r>
          </w:p>
        </w:tc>
      </w:tr>
      <w:tr w14:paraId="1F20D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3542EC39">
            <w:pPr>
              <w:pStyle w:val="20"/>
              <w:spacing w:line="440" w:lineRule="exact"/>
              <w:ind w:firstLine="420" w:firstLineChars="200"/>
              <w:rPr>
                <w:rFonts w:hint="eastAsia" w:ascii="黑体" w:hAnsi="黑体" w:eastAsia="黑体" w:cs="黑体"/>
                <w:lang w:val="en-US" w:eastAsia="en-US"/>
              </w:rPr>
            </w:pPr>
          </w:p>
        </w:tc>
        <w:tc>
          <w:tcPr>
            <w:tcW w:w="2664" w:type="dxa"/>
          </w:tcPr>
          <w:p w14:paraId="386B158C">
            <w:pPr>
              <w:pStyle w:val="20"/>
              <w:spacing w:line="440" w:lineRule="exact"/>
              <w:ind w:firstLine="420" w:firstLineChars="200"/>
              <w:rPr>
                <w:rFonts w:hint="eastAsia" w:ascii="黑体" w:hAnsi="黑体" w:eastAsia="黑体" w:cs="黑体"/>
                <w:lang w:val="en-US" w:eastAsia="en-US"/>
              </w:rPr>
            </w:pPr>
          </w:p>
        </w:tc>
        <w:tc>
          <w:tcPr>
            <w:tcW w:w="2144" w:type="dxa"/>
          </w:tcPr>
          <w:p w14:paraId="37C81DBF">
            <w:pPr>
              <w:pStyle w:val="20"/>
              <w:spacing w:line="440" w:lineRule="exact"/>
              <w:ind w:firstLine="420" w:firstLineChars="200"/>
              <w:rPr>
                <w:rFonts w:hint="eastAsia" w:ascii="黑体" w:hAnsi="黑体" w:eastAsia="黑体" w:cs="黑体"/>
                <w:lang w:val="en-US" w:eastAsia="en-US"/>
              </w:rPr>
            </w:pPr>
          </w:p>
        </w:tc>
        <w:tc>
          <w:tcPr>
            <w:tcW w:w="1847" w:type="dxa"/>
          </w:tcPr>
          <w:p w14:paraId="52264979">
            <w:pPr>
              <w:pStyle w:val="20"/>
              <w:spacing w:line="440" w:lineRule="exact"/>
              <w:ind w:firstLine="420" w:firstLineChars="200"/>
              <w:rPr>
                <w:rFonts w:hint="eastAsia" w:ascii="黑体" w:hAnsi="黑体" w:eastAsia="黑体" w:cs="黑体"/>
                <w:lang w:val="en-US" w:eastAsia="en-US"/>
              </w:rPr>
            </w:pPr>
          </w:p>
        </w:tc>
      </w:tr>
      <w:tr w14:paraId="7E1EF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54500BB9">
            <w:pPr>
              <w:pStyle w:val="20"/>
              <w:spacing w:line="440" w:lineRule="exact"/>
              <w:ind w:firstLine="420" w:firstLineChars="200"/>
              <w:rPr>
                <w:rFonts w:hint="eastAsia" w:ascii="黑体" w:hAnsi="黑体" w:eastAsia="黑体" w:cs="黑体"/>
              </w:rPr>
            </w:pPr>
          </w:p>
        </w:tc>
        <w:tc>
          <w:tcPr>
            <w:tcW w:w="2664" w:type="dxa"/>
          </w:tcPr>
          <w:p w14:paraId="21F6B231">
            <w:pPr>
              <w:pStyle w:val="20"/>
              <w:spacing w:line="440" w:lineRule="exact"/>
              <w:ind w:firstLine="420" w:firstLineChars="200"/>
              <w:rPr>
                <w:rFonts w:hint="eastAsia" w:ascii="黑体" w:hAnsi="黑体" w:eastAsia="黑体" w:cs="黑体"/>
              </w:rPr>
            </w:pPr>
          </w:p>
        </w:tc>
        <w:tc>
          <w:tcPr>
            <w:tcW w:w="2144" w:type="dxa"/>
          </w:tcPr>
          <w:p w14:paraId="47924CC5">
            <w:pPr>
              <w:pStyle w:val="20"/>
              <w:spacing w:line="440" w:lineRule="exact"/>
              <w:ind w:firstLine="420" w:firstLineChars="200"/>
              <w:rPr>
                <w:rFonts w:hint="eastAsia" w:ascii="黑体" w:hAnsi="黑体" w:eastAsia="黑体" w:cs="黑体"/>
              </w:rPr>
            </w:pPr>
          </w:p>
        </w:tc>
        <w:tc>
          <w:tcPr>
            <w:tcW w:w="1847" w:type="dxa"/>
          </w:tcPr>
          <w:p w14:paraId="0C4DD627">
            <w:pPr>
              <w:pStyle w:val="20"/>
              <w:spacing w:line="440" w:lineRule="exact"/>
              <w:ind w:firstLine="420" w:firstLineChars="200"/>
              <w:rPr>
                <w:rFonts w:hint="eastAsia" w:ascii="黑体" w:hAnsi="黑体" w:eastAsia="黑体" w:cs="黑体"/>
              </w:rPr>
            </w:pPr>
          </w:p>
        </w:tc>
      </w:tr>
      <w:tr w14:paraId="20ACB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7A19BFF5">
            <w:pPr>
              <w:pStyle w:val="20"/>
              <w:spacing w:line="440" w:lineRule="exact"/>
              <w:ind w:firstLine="420" w:firstLineChars="200"/>
              <w:rPr>
                <w:rFonts w:hint="eastAsia" w:ascii="黑体" w:hAnsi="黑体" w:eastAsia="黑体" w:cs="黑体"/>
              </w:rPr>
            </w:pPr>
          </w:p>
        </w:tc>
        <w:tc>
          <w:tcPr>
            <w:tcW w:w="2664" w:type="dxa"/>
          </w:tcPr>
          <w:p w14:paraId="1310BD66">
            <w:pPr>
              <w:pStyle w:val="20"/>
              <w:spacing w:line="440" w:lineRule="exact"/>
              <w:ind w:firstLine="420" w:firstLineChars="200"/>
              <w:rPr>
                <w:rFonts w:hint="eastAsia" w:ascii="黑体" w:hAnsi="黑体" w:eastAsia="黑体" w:cs="黑体"/>
              </w:rPr>
            </w:pPr>
          </w:p>
        </w:tc>
        <w:tc>
          <w:tcPr>
            <w:tcW w:w="2144" w:type="dxa"/>
          </w:tcPr>
          <w:p w14:paraId="0AE4F925">
            <w:pPr>
              <w:pStyle w:val="20"/>
              <w:spacing w:line="440" w:lineRule="exact"/>
              <w:ind w:firstLine="420" w:firstLineChars="200"/>
              <w:rPr>
                <w:rFonts w:hint="eastAsia" w:ascii="黑体" w:hAnsi="黑体" w:eastAsia="黑体" w:cs="黑体"/>
              </w:rPr>
            </w:pPr>
          </w:p>
        </w:tc>
        <w:tc>
          <w:tcPr>
            <w:tcW w:w="1847" w:type="dxa"/>
          </w:tcPr>
          <w:p w14:paraId="33FB3D5B">
            <w:pPr>
              <w:pStyle w:val="20"/>
              <w:spacing w:line="440" w:lineRule="exact"/>
              <w:ind w:firstLine="420" w:firstLineChars="200"/>
              <w:rPr>
                <w:rFonts w:hint="eastAsia" w:ascii="黑体" w:hAnsi="黑体" w:eastAsia="黑体" w:cs="黑体"/>
              </w:rPr>
            </w:pPr>
          </w:p>
        </w:tc>
      </w:tr>
      <w:tr w14:paraId="22DEA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1BD19931">
            <w:pPr>
              <w:pStyle w:val="20"/>
              <w:spacing w:line="440" w:lineRule="exact"/>
              <w:ind w:firstLine="420" w:firstLineChars="200"/>
              <w:rPr>
                <w:rFonts w:hint="eastAsia" w:ascii="黑体" w:hAnsi="黑体" w:eastAsia="黑体" w:cs="黑体"/>
              </w:rPr>
            </w:pPr>
          </w:p>
        </w:tc>
        <w:tc>
          <w:tcPr>
            <w:tcW w:w="2664" w:type="dxa"/>
          </w:tcPr>
          <w:p w14:paraId="52CF67DB">
            <w:pPr>
              <w:pStyle w:val="20"/>
              <w:spacing w:line="440" w:lineRule="exact"/>
              <w:ind w:firstLine="420" w:firstLineChars="200"/>
              <w:rPr>
                <w:rFonts w:hint="eastAsia" w:ascii="黑体" w:hAnsi="黑体" w:eastAsia="黑体" w:cs="黑体"/>
              </w:rPr>
            </w:pPr>
          </w:p>
        </w:tc>
        <w:tc>
          <w:tcPr>
            <w:tcW w:w="2144" w:type="dxa"/>
          </w:tcPr>
          <w:p w14:paraId="32C2FA44">
            <w:pPr>
              <w:pStyle w:val="20"/>
              <w:spacing w:line="440" w:lineRule="exact"/>
              <w:ind w:firstLine="420" w:firstLineChars="200"/>
              <w:rPr>
                <w:rFonts w:hint="eastAsia" w:ascii="黑体" w:hAnsi="黑体" w:eastAsia="黑体" w:cs="黑体"/>
              </w:rPr>
            </w:pPr>
          </w:p>
        </w:tc>
        <w:tc>
          <w:tcPr>
            <w:tcW w:w="1847" w:type="dxa"/>
          </w:tcPr>
          <w:p w14:paraId="78262F28">
            <w:pPr>
              <w:pStyle w:val="20"/>
              <w:spacing w:line="440" w:lineRule="exact"/>
              <w:ind w:firstLine="420" w:firstLineChars="200"/>
              <w:rPr>
                <w:rFonts w:hint="eastAsia" w:ascii="黑体" w:hAnsi="黑体" w:eastAsia="黑体" w:cs="黑体"/>
              </w:rPr>
            </w:pPr>
          </w:p>
        </w:tc>
      </w:tr>
      <w:tr w14:paraId="75AC9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080A0317">
            <w:pPr>
              <w:pStyle w:val="20"/>
              <w:spacing w:line="440" w:lineRule="exact"/>
              <w:ind w:firstLine="420" w:firstLineChars="200"/>
              <w:rPr>
                <w:rFonts w:hint="eastAsia" w:ascii="黑体" w:hAnsi="黑体" w:eastAsia="黑体" w:cs="黑体"/>
              </w:rPr>
            </w:pPr>
          </w:p>
        </w:tc>
        <w:tc>
          <w:tcPr>
            <w:tcW w:w="2664" w:type="dxa"/>
          </w:tcPr>
          <w:p w14:paraId="3DA8C988">
            <w:pPr>
              <w:pStyle w:val="20"/>
              <w:spacing w:line="440" w:lineRule="exact"/>
              <w:ind w:firstLine="420" w:firstLineChars="200"/>
              <w:rPr>
                <w:rFonts w:hint="eastAsia" w:ascii="黑体" w:hAnsi="黑体" w:eastAsia="黑体" w:cs="黑体"/>
              </w:rPr>
            </w:pPr>
          </w:p>
        </w:tc>
        <w:tc>
          <w:tcPr>
            <w:tcW w:w="2144" w:type="dxa"/>
          </w:tcPr>
          <w:p w14:paraId="749AAD93">
            <w:pPr>
              <w:pStyle w:val="20"/>
              <w:spacing w:line="440" w:lineRule="exact"/>
              <w:ind w:firstLine="420" w:firstLineChars="200"/>
              <w:rPr>
                <w:rFonts w:hint="eastAsia" w:ascii="黑体" w:hAnsi="黑体" w:eastAsia="黑体" w:cs="黑体"/>
              </w:rPr>
            </w:pPr>
          </w:p>
        </w:tc>
        <w:tc>
          <w:tcPr>
            <w:tcW w:w="1847" w:type="dxa"/>
          </w:tcPr>
          <w:p w14:paraId="213D33FC">
            <w:pPr>
              <w:pStyle w:val="20"/>
              <w:spacing w:line="440" w:lineRule="exact"/>
              <w:ind w:firstLine="420" w:firstLineChars="200"/>
              <w:rPr>
                <w:rFonts w:hint="eastAsia" w:ascii="黑体" w:hAnsi="黑体" w:eastAsia="黑体" w:cs="黑体"/>
              </w:rPr>
            </w:pPr>
          </w:p>
        </w:tc>
      </w:tr>
      <w:tr w14:paraId="31EE1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3EAAE40B">
            <w:pPr>
              <w:pStyle w:val="20"/>
              <w:spacing w:line="440" w:lineRule="exact"/>
              <w:ind w:firstLine="420" w:firstLineChars="200"/>
              <w:rPr>
                <w:rFonts w:hint="eastAsia" w:ascii="黑体" w:hAnsi="黑体" w:eastAsia="黑体" w:cs="黑体"/>
              </w:rPr>
            </w:pPr>
          </w:p>
        </w:tc>
        <w:tc>
          <w:tcPr>
            <w:tcW w:w="2664" w:type="dxa"/>
          </w:tcPr>
          <w:p w14:paraId="13652C29">
            <w:pPr>
              <w:pStyle w:val="20"/>
              <w:spacing w:line="440" w:lineRule="exact"/>
              <w:ind w:firstLine="420" w:firstLineChars="200"/>
              <w:rPr>
                <w:rFonts w:hint="eastAsia" w:ascii="黑体" w:hAnsi="黑体" w:eastAsia="黑体" w:cs="黑体"/>
              </w:rPr>
            </w:pPr>
          </w:p>
        </w:tc>
        <w:tc>
          <w:tcPr>
            <w:tcW w:w="2144" w:type="dxa"/>
          </w:tcPr>
          <w:p w14:paraId="0B795BC3">
            <w:pPr>
              <w:pStyle w:val="20"/>
              <w:spacing w:line="440" w:lineRule="exact"/>
              <w:ind w:firstLine="420" w:firstLineChars="200"/>
              <w:rPr>
                <w:rFonts w:hint="eastAsia" w:ascii="黑体" w:hAnsi="黑体" w:eastAsia="黑体" w:cs="黑体"/>
              </w:rPr>
            </w:pPr>
          </w:p>
        </w:tc>
        <w:tc>
          <w:tcPr>
            <w:tcW w:w="1847" w:type="dxa"/>
          </w:tcPr>
          <w:p w14:paraId="34BFFD5B">
            <w:pPr>
              <w:pStyle w:val="20"/>
              <w:spacing w:line="440" w:lineRule="exact"/>
              <w:ind w:firstLine="420" w:firstLineChars="200"/>
              <w:rPr>
                <w:rFonts w:hint="eastAsia" w:ascii="黑体" w:hAnsi="黑体" w:eastAsia="黑体" w:cs="黑体"/>
              </w:rPr>
            </w:pPr>
          </w:p>
        </w:tc>
      </w:tr>
      <w:tr w14:paraId="0018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4BA93368">
            <w:pPr>
              <w:pStyle w:val="20"/>
              <w:spacing w:line="440" w:lineRule="exact"/>
              <w:ind w:firstLine="420" w:firstLineChars="200"/>
              <w:rPr>
                <w:rFonts w:hint="eastAsia" w:ascii="黑体" w:hAnsi="黑体" w:eastAsia="黑体" w:cs="黑体"/>
              </w:rPr>
            </w:pPr>
          </w:p>
        </w:tc>
        <w:tc>
          <w:tcPr>
            <w:tcW w:w="2664" w:type="dxa"/>
          </w:tcPr>
          <w:p w14:paraId="6BF1B24E">
            <w:pPr>
              <w:pStyle w:val="20"/>
              <w:spacing w:line="440" w:lineRule="exact"/>
              <w:ind w:firstLine="420" w:firstLineChars="200"/>
              <w:rPr>
                <w:rFonts w:hint="eastAsia" w:ascii="黑体" w:hAnsi="黑体" w:eastAsia="黑体" w:cs="黑体"/>
              </w:rPr>
            </w:pPr>
          </w:p>
        </w:tc>
        <w:tc>
          <w:tcPr>
            <w:tcW w:w="2144" w:type="dxa"/>
          </w:tcPr>
          <w:p w14:paraId="05702278">
            <w:pPr>
              <w:pStyle w:val="20"/>
              <w:spacing w:line="440" w:lineRule="exact"/>
              <w:ind w:firstLine="420" w:firstLineChars="200"/>
              <w:rPr>
                <w:rFonts w:hint="eastAsia" w:ascii="黑体" w:hAnsi="黑体" w:eastAsia="黑体" w:cs="黑体"/>
              </w:rPr>
            </w:pPr>
          </w:p>
        </w:tc>
        <w:tc>
          <w:tcPr>
            <w:tcW w:w="1847" w:type="dxa"/>
          </w:tcPr>
          <w:p w14:paraId="6E030262">
            <w:pPr>
              <w:pStyle w:val="20"/>
              <w:spacing w:line="440" w:lineRule="exact"/>
              <w:ind w:firstLine="420" w:firstLineChars="200"/>
              <w:rPr>
                <w:rFonts w:hint="eastAsia" w:ascii="黑体" w:hAnsi="黑体" w:eastAsia="黑体" w:cs="黑体"/>
              </w:rPr>
            </w:pPr>
          </w:p>
        </w:tc>
      </w:tr>
      <w:tr w14:paraId="22329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222" w:type="dxa"/>
          </w:tcPr>
          <w:p w14:paraId="181896AF">
            <w:pPr>
              <w:pStyle w:val="20"/>
              <w:spacing w:line="440" w:lineRule="exact"/>
              <w:ind w:firstLine="420" w:firstLineChars="200"/>
              <w:rPr>
                <w:rFonts w:hint="eastAsia" w:ascii="黑体" w:hAnsi="黑体" w:eastAsia="黑体" w:cs="黑体"/>
              </w:rPr>
            </w:pPr>
          </w:p>
        </w:tc>
        <w:tc>
          <w:tcPr>
            <w:tcW w:w="2664" w:type="dxa"/>
          </w:tcPr>
          <w:p w14:paraId="1CDF2F4D">
            <w:pPr>
              <w:pStyle w:val="20"/>
              <w:spacing w:line="440" w:lineRule="exact"/>
              <w:ind w:firstLine="420" w:firstLineChars="200"/>
              <w:rPr>
                <w:rFonts w:hint="eastAsia" w:ascii="黑体" w:hAnsi="黑体" w:eastAsia="黑体" w:cs="黑体"/>
              </w:rPr>
            </w:pPr>
          </w:p>
        </w:tc>
        <w:tc>
          <w:tcPr>
            <w:tcW w:w="2144" w:type="dxa"/>
          </w:tcPr>
          <w:p w14:paraId="11018CC3">
            <w:pPr>
              <w:pStyle w:val="20"/>
              <w:spacing w:line="440" w:lineRule="exact"/>
              <w:ind w:firstLine="420" w:firstLineChars="200"/>
              <w:rPr>
                <w:rFonts w:hint="eastAsia" w:ascii="黑体" w:hAnsi="黑体" w:eastAsia="黑体" w:cs="黑体"/>
              </w:rPr>
            </w:pPr>
          </w:p>
        </w:tc>
        <w:tc>
          <w:tcPr>
            <w:tcW w:w="1847" w:type="dxa"/>
          </w:tcPr>
          <w:p w14:paraId="28029B00">
            <w:pPr>
              <w:pStyle w:val="20"/>
              <w:spacing w:line="440" w:lineRule="exact"/>
              <w:ind w:firstLine="420" w:firstLineChars="200"/>
              <w:rPr>
                <w:rFonts w:hint="eastAsia" w:ascii="黑体" w:hAnsi="黑体" w:eastAsia="黑体" w:cs="黑体"/>
              </w:rPr>
            </w:pPr>
          </w:p>
        </w:tc>
      </w:tr>
      <w:tr w14:paraId="330D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222" w:type="dxa"/>
            <w:vAlign w:val="center"/>
          </w:tcPr>
          <w:p w14:paraId="19D64CBB">
            <w:pPr>
              <w:pStyle w:val="20"/>
              <w:spacing w:line="440" w:lineRule="exact"/>
              <w:ind w:firstLine="420" w:firstLineChars="200"/>
              <w:rPr>
                <w:rFonts w:hint="eastAsia" w:ascii="黑体" w:hAnsi="黑体" w:eastAsia="黑体" w:cs="黑体"/>
              </w:rPr>
            </w:pPr>
            <w:r>
              <w:rPr>
                <w:rFonts w:hint="eastAsia" w:ascii="黑体" w:hAnsi="黑体" w:eastAsia="黑体" w:cs="黑体"/>
              </w:rPr>
              <w:t>…</w:t>
            </w:r>
          </w:p>
        </w:tc>
        <w:tc>
          <w:tcPr>
            <w:tcW w:w="2664" w:type="dxa"/>
            <w:vAlign w:val="center"/>
          </w:tcPr>
          <w:p w14:paraId="0988E4B5">
            <w:pPr>
              <w:pStyle w:val="20"/>
              <w:spacing w:line="440" w:lineRule="exact"/>
              <w:ind w:firstLine="420" w:firstLineChars="200"/>
              <w:rPr>
                <w:rFonts w:hint="eastAsia" w:ascii="黑体" w:hAnsi="黑体" w:eastAsia="黑体" w:cs="黑体"/>
              </w:rPr>
            </w:pPr>
            <w:r>
              <w:rPr>
                <w:rFonts w:hint="eastAsia" w:ascii="黑体" w:hAnsi="黑体" w:eastAsia="黑体" w:cs="黑体"/>
              </w:rPr>
              <w:t>…</w:t>
            </w:r>
          </w:p>
        </w:tc>
        <w:tc>
          <w:tcPr>
            <w:tcW w:w="2144" w:type="dxa"/>
            <w:vAlign w:val="center"/>
          </w:tcPr>
          <w:p w14:paraId="461A3D76">
            <w:pPr>
              <w:pStyle w:val="20"/>
              <w:spacing w:line="440" w:lineRule="exact"/>
              <w:ind w:firstLine="420" w:firstLineChars="200"/>
              <w:rPr>
                <w:rFonts w:hint="eastAsia" w:ascii="黑体" w:hAnsi="黑体" w:eastAsia="黑体" w:cs="黑体"/>
              </w:rPr>
            </w:pPr>
            <w:r>
              <w:rPr>
                <w:rFonts w:hint="eastAsia" w:ascii="黑体" w:hAnsi="黑体" w:eastAsia="黑体" w:cs="黑体"/>
              </w:rPr>
              <w:t>…</w:t>
            </w:r>
          </w:p>
        </w:tc>
        <w:tc>
          <w:tcPr>
            <w:tcW w:w="1847" w:type="dxa"/>
            <w:vAlign w:val="center"/>
          </w:tcPr>
          <w:p w14:paraId="2286F349">
            <w:pPr>
              <w:pStyle w:val="20"/>
              <w:spacing w:line="440" w:lineRule="exact"/>
              <w:ind w:firstLine="420" w:firstLineChars="200"/>
              <w:rPr>
                <w:rFonts w:hint="eastAsia" w:ascii="黑体" w:hAnsi="黑体" w:eastAsia="黑体" w:cs="黑体"/>
              </w:rPr>
            </w:pPr>
            <w:r>
              <w:rPr>
                <w:rFonts w:hint="eastAsia" w:ascii="黑体" w:hAnsi="黑体" w:eastAsia="黑体" w:cs="黑体"/>
              </w:rPr>
              <w:t>…</w:t>
            </w:r>
          </w:p>
        </w:tc>
      </w:tr>
    </w:tbl>
    <w:p w14:paraId="0DE76CF8">
      <w:pPr>
        <w:pStyle w:val="20"/>
        <w:spacing w:line="440" w:lineRule="exact"/>
        <w:rPr>
          <w:rFonts w:hint="eastAsia" w:ascii="黑体" w:hAnsi="黑体" w:eastAsia="黑体" w:cs="黑体"/>
        </w:rPr>
      </w:pPr>
    </w:p>
    <w:p w14:paraId="63AC2047">
      <w:pPr>
        <w:pStyle w:val="20"/>
        <w:spacing w:line="440" w:lineRule="exact"/>
        <w:ind w:firstLine="420" w:firstLineChars="200"/>
        <w:rPr>
          <w:rFonts w:hint="eastAsia" w:ascii="黑体" w:hAnsi="黑体" w:eastAsia="黑体" w:cs="黑体"/>
        </w:rPr>
      </w:pPr>
    </w:p>
    <w:p w14:paraId="7143E522">
      <w:pPr>
        <w:pStyle w:val="20"/>
        <w:spacing w:line="440" w:lineRule="exact"/>
        <w:ind w:firstLine="420" w:firstLineChars="200"/>
        <w:rPr>
          <w:rFonts w:hint="eastAsia" w:ascii="黑体" w:hAnsi="黑体" w:eastAsia="黑体" w:cs="黑体"/>
        </w:rPr>
      </w:pPr>
      <w:r>
        <w:rPr>
          <w:rFonts w:hint="eastAsia" w:ascii="黑体" w:hAnsi="黑体" w:eastAsia="黑体" w:cs="黑体"/>
          <w:lang w:eastAsia="zh-CN"/>
        </w:rPr>
        <w:t>供应商</w:t>
      </w:r>
      <w:r>
        <w:rPr>
          <w:rFonts w:hint="eastAsia" w:ascii="黑体" w:hAnsi="黑体" w:eastAsia="黑体" w:cs="黑体"/>
        </w:rPr>
        <w:t>名称(公章)：________________</w:t>
      </w:r>
    </w:p>
    <w:p w14:paraId="19858D79">
      <w:pPr>
        <w:pStyle w:val="20"/>
        <w:spacing w:line="440" w:lineRule="exact"/>
        <w:ind w:firstLine="420" w:firstLineChars="200"/>
        <w:rPr>
          <w:rFonts w:hint="eastAsia" w:ascii="黑体" w:hAnsi="黑体" w:eastAsia="黑体" w:cs="黑体"/>
        </w:rPr>
      </w:pPr>
    </w:p>
    <w:p w14:paraId="3C2F175B">
      <w:pPr>
        <w:pStyle w:val="20"/>
        <w:spacing w:line="440" w:lineRule="exact"/>
        <w:ind w:firstLine="420" w:firstLineChars="200"/>
        <w:rPr>
          <w:rFonts w:hint="eastAsia" w:ascii="黑体" w:hAnsi="黑体" w:eastAsia="黑体" w:cs="黑体"/>
        </w:rPr>
      </w:pPr>
      <w:r>
        <w:rPr>
          <w:rFonts w:hint="eastAsia" w:ascii="黑体" w:hAnsi="黑体" w:eastAsia="黑体" w:cs="黑体"/>
        </w:rPr>
        <w:t>法定代表人或其授权代表(签字或盖章)：________________</w:t>
      </w:r>
    </w:p>
    <w:p w14:paraId="3910A15F">
      <w:pPr>
        <w:pStyle w:val="20"/>
        <w:spacing w:line="440" w:lineRule="exact"/>
        <w:ind w:firstLine="420" w:firstLineChars="200"/>
        <w:rPr>
          <w:rFonts w:hint="eastAsia" w:ascii="黑体" w:hAnsi="黑体" w:eastAsia="黑体" w:cs="黑体"/>
        </w:rPr>
      </w:pPr>
    </w:p>
    <w:p w14:paraId="0B1ACA93">
      <w:pPr>
        <w:pStyle w:val="20"/>
        <w:spacing w:line="440" w:lineRule="exact"/>
        <w:ind w:firstLine="420" w:firstLineChars="200"/>
        <w:rPr>
          <w:rFonts w:hint="eastAsia" w:ascii="黑体" w:hAnsi="黑体" w:eastAsia="黑体" w:cs="黑体"/>
        </w:rPr>
      </w:pPr>
      <w:r>
        <w:rPr>
          <w:rFonts w:hint="eastAsia" w:ascii="黑体" w:hAnsi="黑体" w:eastAsia="黑体" w:cs="黑体"/>
        </w:rPr>
        <w:t>日期：______年____月____日</w:t>
      </w:r>
    </w:p>
    <w:p w14:paraId="361E0384">
      <w:pPr>
        <w:pStyle w:val="20"/>
        <w:spacing w:line="440" w:lineRule="exact"/>
        <w:ind w:firstLine="420" w:firstLineChars="200"/>
        <w:rPr>
          <w:rFonts w:hint="eastAsia" w:ascii="黑体" w:hAnsi="黑体" w:eastAsia="黑体" w:cs="黑体"/>
        </w:rPr>
      </w:pPr>
    </w:p>
    <w:p w14:paraId="62959DB4">
      <w:pPr>
        <w:pStyle w:val="20"/>
        <w:spacing w:line="440" w:lineRule="exact"/>
        <w:ind w:firstLine="420" w:firstLineChars="200"/>
        <w:rPr>
          <w:rFonts w:hint="eastAsia" w:ascii="黑体" w:hAnsi="黑体" w:eastAsia="黑体" w:cs="黑体"/>
        </w:rPr>
      </w:pPr>
    </w:p>
    <w:p w14:paraId="6F1DBEEF">
      <w:pPr>
        <w:pStyle w:val="20"/>
        <w:spacing w:line="440" w:lineRule="exact"/>
        <w:ind w:firstLine="420" w:firstLineChars="200"/>
        <w:rPr>
          <w:rFonts w:hint="eastAsia" w:ascii="黑体" w:hAnsi="黑体" w:eastAsia="黑体" w:cs="黑体"/>
        </w:rPr>
      </w:pPr>
    </w:p>
    <w:p w14:paraId="50F1D739">
      <w:pPr>
        <w:pStyle w:val="20"/>
        <w:spacing w:line="440" w:lineRule="exact"/>
        <w:ind w:firstLine="420" w:firstLineChars="200"/>
        <w:rPr>
          <w:rFonts w:hint="eastAsia" w:ascii="黑体" w:hAnsi="黑体" w:eastAsia="黑体" w:cs="黑体"/>
        </w:rPr>
      </w:pPr>
    </w:p>
    <w:p w14:paraId="358EAB1A">
      <w:pPr>
        <w:rPr>
          <w:rFonts w:hint="eastAsia" w:ascii="黑体" w:hAnsi="黑体" w:eastAsia="黑体" w:cs="黑体"/>
        </w:rPr>
      </w:pPr>
      <w:r>
        <w:rPr>
          <w:rFonts w:hint="eastAsia" w:ascii="黑体" w:hAnsi="黑体" w:eastAsia="黑体" w:cs="黑体"/>
        </w:rPr>
        <w:br w:type="page"/>
      </w:r>
    </w:p>
    <w:p w14:paraId="2267E4E1">
      <w:pPr>
        <w:pStyle w:val="4"/>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right="0"/>
        <w:jc w:val="center"/>
        <w:textAlignment w:val="auto"/>
        <w:outlineLvl w:val="0"/>
        <w:rPr>
          <w:rFonts w:hint="eastAsia" w:ascii="黑体" w:hAnsi="黑体" w:eastAsia="黑体" w:cs="黑体"/>
          <w:b/>
          <w:bCs w:val="0"/>
          <w:kern w:val="2"/>
          <w:sz w:val="36"/>
          <w:szCs w:val="36"/>
          <w:lang w:val="en-US" w:eastAsia="zh-CN" w:bidi="ar-SA"/>
        </w:rPr>
      </w:pPr>
      <w:bookmarkStart w:id="378" w:name="_Toc10874"/>
      <w:r>
        <w:rPr>
          <w:rFonts w:hint="eastAsia" w:ascii="黑体" w:hAnsi="黑体" w:eastAsia="黑体" w:cs="黑体"/>
          <w:b/>
          <w:bCs w:val="0"/>
          <w:kern w:val="2"/>
          <w:sz w:val="36"/>
          <w:szCs w:val="36"/>
          <w:lang w:val="en-US" w:eastAsia="zh-CN" w:bidi="ar-SA"/>
        </w:rPr>
        <w:t>资格审查资料</w:t>
      </w:r>
      <w:bookmarkEnd w:id="378"/>
    </w:p>
    <w:p w14:paraId="47351D9A">
      <w:pPr>
        <w:rPr>
          <w:rFonts w:hint="eastAsia" w:ascii="黑体" w:hAnsi="黑体" w:eastAsia="黑体" w:cs="黑体"/>
          <w:sz w:val="24"/>
          <w:szCs w:val="24"/>
        </w:rPr>
      </w:pPr>
      <w:r>
        <w:rPr>
          <w:rFonts w:hint="eastAsia" w:ascii="黑体" w:hAnsi="黑体" w:eastAsia="黑体" w:cs="黑体"/>
          <w:sz w:val="24"/>
          <w:szCs w:val="24"/>
        </w:rPr>
        <w:br w:type="page"/>
      </w:r>
    </w:p>
    <w:p w14:paraId="2ED9FCF0">
      <w:pPr>
        <w:pStyle w:val="4"/>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right="0"/>
        <w:jc w:val="center"/>
        <w:textAlignment w:val="auto"/>
        <w:outlineLvl w:val="0"/>
        <w:rPr>
          <w:rFonts w:hint="eastAsia" w:ascii="黑体" w:hAnsi="黑体" w:eastAsia="黑体" w:cs="黑体"/>
          <w:b/>
          <w:bCs w:val="0"/>
          <w:kern w:val="2"/>
          <w:sz w:val="36"/>
          <w:szCs w:val="36"/>
          <w:lang w:val="en-US" w:eastAsia="zh-CN" w:bidi="ar-SA"/>
        </w:rPr>
      </w:pPr>
      <w:r>
        <w:rPr>
          <w:rFonts w:hint="eastAsia" w:ascii="黑体" w:hAnsi="黑体" w:eastAsia="黑体" w:cs="黑体"/>
          <w:sz w:val="24"/>
          <w:szCs w:val="24"/>
          <w:lang w:val="en-US" w:eastAsia="zh-CN"/>
        </w:rPr>
        <w:t xml:space="preserve">    </w:t>
      </w:r>
      <w:bookmarkStart w:id="379" w:name="_Toc10624"/>
      <w:r>
        <w:rPr>
          <w:rFonts w:hint="eastAsia" w:ascii="黑体" w:hAnsi="黑体" w:eastAsia="黑体" w:cs="黑体"/>
          <w:b/>
          <w:bCs w:val="0"/>
          <w:kern w:val="2"/>
          <w:sz w:val="36"/>
          <w:szCs w:val="36"/>
          <w:lang w:val="en-US" w:eastAsia="zh-CN" w:bidi="ar-SA"/>
        </w:rPr>
        <w:t>技术部分</w:t>
      </w:r>
      <w:bookmarkEnd w:id="379"/>
    </w:p>
    <w:p w14:paraId="6E554AC5">
      <w:pPr>
        <w:rPr>
          <w:rFonts w:hint="eastAsia" w:ascii="黑体" w:hAnsi="黑体" w:eastAsia="黑体" w:cs="黑体"/>
          <w:b/>
          <w:bCs w:val="0"/>
          <w:kern w:val="2"/>
          <w:sz w:val="36"/>
          <w:szCs w:val="36"/>
          <w:lang w:val="en-US" w:eastAsia="zh-CN" w:bidi="ar-SA"/>
        </w:rPr>
      </w:pPr>
      <w:r>
        <w:rPr>
          <w:rFonts w:hint="eastAsia" w:ascii="黑体" w:hAnsi="黑体" w:eastAsia="黑体" w:cs="黑体"/>
          <w:b/>
          <w:bCs w:val="0"/>
          <w:kern w:val="2"/>
          <w:sz w:val="36"/>
          <w:szCs w:val="36"/>
          <w:lang w:val="en-US" w:eastAsia="zh-CN" w:bidi="ar-SA"/>
        </w:rPr>
        <w:br w:type="page"/>
      </w:r>
    </w:p>
    <w:p w14:paraId="01A5934A">
      <w:pPr>
        <w:pStyle w:val="4"/>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right="0"/>
        <w:jc w:val="center"/>
        <w:textAlignment w:val="auto"/>
        <w:outlineLvl w:val="0"/>
        <w:rPr>
          <w:rFonts w:hint="eastAsia" w:ascii="黑体" w:hAnsi="黑体" w:eastAsia="黑体" w:cs="黑体"/>
          <w:b/>
          <w:bCs w:val="0"/>
          <w:kern w:val="2"/>
          <w:sz w:val="36"/>
          <w:szCs w:val="36"/>
          <w:lang w:val="en-US" w:eastAsia="zh-CN" w:bidi="ar-SA"/>
        </w:rPr>
      </w:pPr>
      <w:bookmarkStart w:id="380" w:name="_Toc31088"/>
      <w:r>
        <w:rPr>
          <w:rFonts w:hint="eastAsia" w:ascii="黑体" w:hAnsi="黑体" w:eastAsia="黑体" w:cs="黑体"/>
          <w:b/>
          <w:bCs w:val="0"/>
          <w:kern w:val="2"/>
          <w:sz w:val="36"/>
          <w:szCs w:val="36"/>
          <w:lang w:val="en-US" w:eastAsia="zh-CN" w:bidi="ar-SA"/>
        </w:rPr>
        <w:t>相关服务计划</w:t>
      </w:r>
      <w:bookmarkEnd w:id="380"/>
      <w:r>
        <w:rPr>
          <w:rFonts w:hint="eastAsia" w:ascii="黑体" w:hAnsi="黑体" w:eastAsia="黑体" w:cs="黑体"/>
          <w:b/>
          <w:bCs w:val="0"/>
          <w:kern w:val="2"/>
          <w:sz w:val="36"/>
          <w:szCs w:val="36"/>
          <w:lang w:val="en-US" w:eastAsia="zh-CN" w:bidi="ar-SA"/>
        </w:rPr>
        <w:t xml:space="preserve"> </w:t>
      </w:r>
    </w:p>
    <w:p w14:paraId="3F3C23ED">
      <w:pPr>
        <w:rPr>
          <w:rFonts w:hint="eastAsia" w:ascii="黑体" w:hAnsi="黑体" w:eastAsia="黑体" w:cs="黑体"/>
          <w:b/>
          <w:bCs w:val="0"/>
          <w:kern w:val="2"/>
          <w:sz w:val="36"/>
          <w:szCs w:val="36"/>
          <w:lang w:val="en-US" w:eastAsia="zh-CN" w:bidi="ar-SA"/>
        </w:rPr>
      </w:pPr>
      <w:r>
        <w:rPr>
          <w:rFonts w:hint="eastAsia" w:ascii="黑体" w:hAnsi="黑体" w:eastAsia="黑体" w:cs="黑体"/>
          <w:b/>
          <w:bCs w:val="0"/>
          <w:kern w:val="2"/>
          <w:sz w:val="36"/>
          <w:szCs w:val="36"/>
          <w:lang w:val="en-US" w:eastAsia="zh-CN" w:bidi="ar-SA"/>
        </w:rPr>
        <w:br w:type="page"/>
      </w:r>
    </w:p>
    <w:p w14:paraId="0DBBD845">
      <w:pPr>
        <w:pStyle w:val="4"/>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right="0"/>
        <w:jc w:val="center"/>
        <w:textAlignment w:val="auto"/>
        <w:outlineLvl w:val="0"/>
        <w:rPr>
          <w:rFonts w:hint="default" w:ascii="黑体" w:hAnsi="黑体" w:eastAsia="黑体" w:cs="黑体"/>
          <w:b/>
          <w:bCs w:val="0"/>
          <w:kern w:val="2"/>
          <w:sz w:val="36"/>
          <w:szCs w:val="36"/>
          <w:lang w:val="en-US" w:eastAsia="zh-CN" w:bidi="ar-SA"/>
        </w:rPr>
      </w:pPr>
      <w:bookmarkStart w:id="381" w:name="_Toc1544"/>
      <w:r>
        <w:rPr>
          <w:rFonts w:hint="eastAsia" w:ascii="黑体" w:hAnsi="黑体" w:eastAsia="黑体" w:cs="黑体"/>
          <w:b/>
          <w:bCs w:val="0"/>
          <w:kern w:val="2"/>
          <w:sz w:val="36"/>
          <w:szCs w:val="36"/>
          <w:lang w:val="en-US" w:eastAsia="zh-CN" w:bidi="ar-SA"/>
        </w:rPr>
        <w:t>其他资料</w:t>
      </w:r>
      <w:bookmarkEnd w:id="381"/>
    </w:p>
    <w:p w14:paraId="4EB6230D">
      <w:pPr>
        <w:pStyle w:val="20"/>
        <w:rPr>
          <w:rFonts w:hint="eastAsia" w:ascii="黑体" w:hAnsi="黑体" w:eastAsia="黑体" w:cs="黑体"/>
          <w:kern w:val="2"/>
          <w:sz w:val="24"/>
          <w:szCs w:val="24"/>
          <w:lang w:val="en-US" w:eastAsia="zh-CN" w:bidi="ar-SA"/>
        </w:rPr>
      </w:pPr>
    </w:p>
    <w:sectPr>
      <w:headerReference r:id="rId7" w:type="default"/>
      <w:footerReference r:id="rId8" w:type="default"/>
      <w:pgSz w:w="11906" w:h="16838"/>
      <w:pgMar w:top="1417" w:right="1418" w:bottom="1417" w:left="1418" w:header="851"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CG Times">
    <w:panose1 w:val="02020603050405020304"/>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FZHTK--GBK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66F73">
    <w:pPr>
      <w:pStyle w:val="2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566610">
                          <w:pPr>
                            <w:pStyle w:val="2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5566610">
                    <w:pPr>
                      <w:pStyle w:val="2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15BEE">
    <w:pPr>
      <w:pStyle w:val="2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323D64">
                          <w:pPr>
                            <w:pStyle w:val="2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9323D64">
                    <w:pPr>
                      <w:pStyle w:val="2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6BDA5">
    <w:pPr>
      <w:pStyle w:val="25"/>
      <w:tabs>
        <w:tab w:val="center" w:pos="4535"/>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20D01F">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3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ARO+F3gEAAL8DAAAOAAAAAAAA&#10;AAEAIAAAAB4BAABkcnMvZTJvRG9jLnhtbFBLBQYAAAAABgAGAFkBAABuBQAAAAA=&#10;">
              <v:fill on="f" focussize="0,0"/>
              <v:stroke on="f"/>
              <v:imagedata o:title=""/>
              <o:lock v:ext="edit" aspectratio="f"/>
              <v:textbox inset="0mm,0mm,0mm,0mm" style="mso-fit-shape-to-text:t;">
                <w:txbxContent>
                  <w:p w14:paraId="6920D01F">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v:textbox>
            </v:shape>
          </w:pict>
        </mc:Fallback>
      </mc:AlternateContent>
    </w: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70"/>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7311F897">
                          <w:pPr>
                            <w:pStyle w:val="25"/>
                          </w:pPr>
                        </w:p>
                      </w:txbxContent>
                    </wps:txbx>
                    <wps:bodyPr wrap="none" lIns="0" tIns="0" rIns="0" bIns="0" upright="0">
                      <a:spAutoFit/>
                    </wps:bodyPr>
                  </wps:wsp>
                </a:graphicData>
              </a:graphic>
            </wp:anchor>
          </w:drawing>
        </mc:Choice>
        <mc:Fallback>
          <w:pict>
            <v:rect id="文本框 70"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v133YcMBAACQAwAADgAAAAAAAAABACAAAAAfAQAAZHJzL2Uyb0RvYy54bWxQ&#10;SwUGAAAAAAYABgBZAQAAVAUAAAAA&#10;">
              <v:fill on="f" focussize="0,0"/>
              <v:stroke on="f"/>
              <v:imagedata o:title=""/>
              <o:lock v:ext="edit" aspectratio="f"/>
              <v:textbox inset="0mm,0mm,0mm,0mm" style="mso-fit-shape-to-text:t;">
                <w:txbxContent>
                  <w:p w14:paraId="7311F897">
                    <w:pPr>
                      <w:pStyle w:val="25"/>
                    </w:pP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CEF26">
    <w:pPr>
      <w:pStyle w:val="14"/>
      <w:spacing w:line="14" w:lineRule="auto"/>
      <w:rPr>
        <w:sz w:val="2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67005" cy="139700"/>
              <wp:effectExtent l="0" t="0" r="0" b="0"/>
              <wp:wrapNone/>
              <wp:docPr id="22" name="文本框 1040"/>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14:paraId="08A7250C">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wps:txbx>
                    <wps:bodyPr lIns="0" tIns="0" rIns="0" bIns="0" upright="1"/>
                  </wps:wsp>
                </a:graphicData>
              </a:graphic>
            </wp:anchor>
          </w:drawing>
        </mc:Choice>
        <mc:Fallback>
          <w:pict>
            <v:shape id="文本框 1040" o:spid="_x0000_s1026" o:spt="202" type="#_x0000_t202" style="position:absolute;left:0pt;margin-top:0pt;height:11pt;width:13.15pt;mso-position-horizontal:center;mso-position-horizontal-relative:margin;z-index:251662336;mso-width-relative:page;mso-height-relative:page;" filled="f" stroked="f" coordsize="21600,21600" o:gfxdata="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bJP2jTAAAAAwEAAA8AAAAAAAAAAQAgAAAAIgAAAGRycy9kb3ducmV2LnhtbFBLAQIUABQAAAAI&#10;AIdO4kDL1AEguQEAAHUDAAAOAAAAAAAAAAEAIAAAACIBAABkcnMvZTJvRG9jLnhtbFBLBQYAAAAA&#10;BgAGAFkBAABNBQAAAAA=&#10;">
              <v:fill on="f" focussize="0,0"/>
              <v:stroke on="f"/>
              <v:imagedata o:title=""/>
              <o:lock v:ext="edit" aspectratio="f"/>
              <v:textbox inset="0mm,0mm,0mm,0mm">
                <w:txbxContent>
                  <w:p w14:paraId="08A7250C">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19EDB">
    <w:pPr>
      <w:pStyle w:val="2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0F390">
    <w:pPr>
      <w:pStyle w:val="26"/>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A84AC3"/>
    <w:multiLevelType w:val="singleLevel"/>
    <w:tmpl w:val="87A84AC3"/>
    <w:lvl w:ilvl="0" w:tentative="0">
      <w:start w:val="7"/>
      <w:numFmt w:val="chineseCounting"/>
      <w:suff w:val="nothing"/>
      <w:lvlText w:val="%1、"/>
      <w:lvlJc w:val="left"/>
      <w:rPr>
        <w:rFonts w:hint="eastAsia"/>
      </w:rPr>
    </w:lvl>
  </w:abstractNum>
  <w:abstractNum w:abstractNumId="1">
    <w:nsid w:val="00000004"/>
    <w:multiLevelType w:val="singleLevel"/>
    <w:tmpl w:val="00000004"/>
    <w:lvl w:ilvl="0" w:tentative="0">
      <w:start w:val="4"/>
      <w:numFmt w:val="chineseCounting"/>
      <w:suff w:val="nothing"/>
      <w:lvlText w:val="%1、"/>
      <w:lvlJc w:val="left"/>
    </w:lvl>
  </w:abstractNum>
  <w:abstractNum w:abstractNumId="2">
    <w:nsid w:val="060E5A50"/>
    <w:multiLevelType w:val="singleLevel"/>
    <w:tmpl w:val="060E5A50"/>
    <w:lvl w:ilvl="0" w:tentative="0">
      <w:start w:val="2"/>
      <w:numFmt w:val="decimal"/>
      <w:suff w:val="nothing"/>
      <w:lvlText w:val="%1、"/>
      <w:lvlJc w:val="left"/>
    </w:lvl>
  </w:abstractNum>
  <w:abstractNum w:abstractNumId="3">
    <w:nsid w:val="2C62E806"/>
    <w:multiLevelType w:val="singleLevel"/>
    <w:tmpl w:val="2C62E806"/>
    <w:lvl w:ilvl="0" w:tentative="0">
      <w:start w:val="1"/>
      <w:numFmt w:val="decimal"/>
      <w:lvlText w:val="%1."/>
      <w:lvlJc w:val="left"/>
      <w:pPr>
        <w:tabs>
          <w:tab w:val="left" w:pos="312"/>
        </w:tabs>
      </w:pPr>
    </w:lvl>
  </w:abstractNum>
  <w:abstractNum w:abstractNumId="4">
    <w:nsid w:val="330BB2F0"/>
    <w:multiLevelType w:val="multilevel"/>
    <w:tmpl w:val="330BB2F0"/>
    <w:lvl w:ilvl="0" w:tentative="0">
      <w:start w:val="1"/>
      <w:numFmt w:val="bullet"/>
      <w:pStyle w:val="232"/>
      <w:lvlText w:val=""/>
      <w:lvlJc w:val="left"/>
      <w:pPr>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FZHTK--GBK1-0" w:hAnsi="FZHTK--GBK1-0"/>
      </w:rPr>
    </w:lvl>
    <w:lvl w:ilvl="2" w:tentative="0">
      <w:start w:val="1"/>
      <w:numFmt w:val="bullet"/>
      <w:lvlText w:val=""/>
      <w:lvlJc w:val="left"/>
      <w:pPr>
        <w:tabs>
          <w:tab w:val="left" w:pos="1260"/>
        </w:tabs>
        <w:ind w:left="1260" w:hanging="420"/>
      </w:pPr>
      <w:rPr>
        <w:rFonts w:hint="default" w:ascii="FZHTK--GBK1-0" w:hAnsi="FZHTK--GBK1-0"/>
      </w:rPr>
    </w:lvl>
    <w:lvl w:ilvl="3" w:tentative="0">
      <w:start w:val="1"/>
      <w:numFmt w:val="bullet"/>
      <w:lvlText w:val=""/>
      <w:lvlJc w:val="left"/>
      <w:pPr>
        <w:tabs>
          <w:tab w:val="left" w:pos="1680"/>
        </w:tabs>
        <w:ind w:left="1680" w:hanging="420"/>
      </w:pPr>
      <w:rPr>
        <w:rFonts w:hint="default" w:ascii="FZHTK--GBK1-0" w:hAnsi="FZHTK--GBK1-0"/>
      </w:rPr>
    </w:lvl>
    <w:lvl w:ilvl="4" w:tentative="0">
      <w:start w:val="1"/>
      <w:numFmt w:val="bullet"/>
      <w:lvlText w:val=""/>
      <w:lvlJc w:val="left"/>
      <w:pPr>
        <w:tabs>
          <w:tab w:val="left" w:pos="2100"/>
        </w:tabs>
        <w:ind w:left="2100" w:hanging="420"/>
      </w:pPr>
      <w:rPr>
        <w:rFonts w:hint="default" w:ascii="FZHTK--GBK1-0" w:hAnsi="FZHTK--GBK1-0"/>
      </w:rPr>
    </w:lvl>
    <w:lvl w:ilvl="5" w:tentative="0">
      <w:start w:val="1"/>
      <w:numFmt w:val="bullet"/>
      <w:lvlText w:val=""/>
      <w:lvlJc w:val="left"/>
      <w:pPr>
        <w:tabs>
          <w:tab w:val="left" w:pos="2520"/>
        </w:tabs>
        <w:ind w:left="2520" w:hanging="420"/>
      </w:pPr>
      <w:rPr>
        <w:rFonts w:hint="default" w:ascii="FZHTK--GBK1-0" w:hAnsi="FZHTK--GBK1-0"/>
      </w:rPr>
    </w:lvl>
    <w:lvl w:ilvl="6" w:tentative="0">
      <w:start w:val="1"/>
      <w:numFmt w:val="bullet"/>
      <w:lvlText w:val=""/>
      <w:lvlJc w:val="left"/>
      <w:pPr>
        <w:tabs>
          <w:tab w:val="left" w:pos="2940"/>
        </w:tabs>
        <w:ind w:left="2940" w:hanging="420"/>
      </w:pPr>
      <w:rPr>
        <w:rFonts w:hint="default" w:ascii="FZHTK--GBK1-0" w:hAnsi="FZHTK--GBK1-0"/>
      </w:rPr>
    </w:lvl>
    <w:lvl w:ilvl="7" w:tentative="0">
      <w:start w:val="1"/>
      <w:numFmt w:val="bullet"/>
      <w:lvlText w:val=""/>
      <w:lvlJc w:val="left"/>
      <w:pPr>
        <w:tabs>
          <w:tab w:val="left" w:pos="3360"/>
        </w:tabs>
        <w:ind w:left="3360" w:hanging="420"/>
      </w:pPr>
      <w:rPr>
        <w:rFonts w:hint="default" w:ascii="FZHTK--GBK1-0" w:hAnsi="FZHTK--GBK1-0"/>
      </w:rPr>
    </w:lvl>
    <w:lvl w:ilvl="8" w:tentative="0">
      <w:start w:val="1"/>
      <w:numFmt w:val="bullet"/>
      <w:lvlText w:val=""/>
      <w:lvlJc w:val="left"/>
      <w:pPr>
        <w:tabs>
          <w:tab w:val="left" w:pos="3780"/>
        </w:tabs>
        <w:ind w:left="3780" w:hanging="420"/>
      </w:pPr>
      <w:rPr>
        <w:rFonts w:hint="default" w:ascii="FZHTK--GBK1-0" w:hAnsi="FZHTK--GBK1-0"/>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ZTBkMjQ4Njg5YWI3MDM2ZTNmZDgxZDI2OGJhZDcifQ=="/>
  </w:docVars>
  <w:rsids>
    <w:rsidRoot w:val="00172A27"/>
    <w:rsid w:val="00002928"/>
    <w:rsid w:val="00002D0A"/>
    <w:rsid w:val="0000325D"/>
    <w:rsid w:val="00003683"/>
    <w:rsid w:val="00003B77"/>
    <w:rsid w:val="0000530E"/>
    <w:rsid w:val="00005528"/>
    <w:rsid w:val="00005755"/>
    <w:rsid w:val="000059DB"/>
    <w:rsid w:val="0000661F"/>
    <w:rsid w:val="00006640"/>
    <w:rsid w:val="00006B74"/>
    <w:rsid w:val="00006E36"/>
    <w:rsid w:val="00007D1C"/>
    <w:rsid w:val="00010293"/>
    <w:rsid w:val="00010CD7"/>
    <w:rsid w:val="00012208"/>
    <w:rsid w:val="0001293B"/>
    <w:rsid w:val="00012FD7"/>
    <w:rsid w:val="000131E2"/>
    <w:rsid w:val="0001361E"/>
    <w:rsid w:val="000143C7"/>
    <w:rsid w:val="00014484"/>
    <w:rsid w:val="00014A59"/>
    <w:rsid w:val="00014CC9"/>
    <w:rsid w:val="00017465"/>
    <w:rsid w:val="00017EEA"/>
    <w:rsid w:val="00022393"/>
    <w:rsid w:val="00022F0D"/>
    <w:rsid w:val="00022F50"/>
    <w:rsid w:val="000235D3"/>
    <w:rsid w:val="00024AF8"/>
    <w:rsid w:val="00024BFB"/>
    <w:rsid w:val="00024D8F"/>
    <w:rsid w:val="0002550A"/>
    <w:rsid w:val="00025524"/>
    <w:rsid w:val="00025702"/>
    <w:rsid w:val="000268F8"/>
    <w:rsid w:val="000272E3"/>
    <w:rsid w:val="00027314"/>
    <w:rsid w:val="00027D3A"/>
    <w:rsid w:val="0003059C"/>
    <w:rsid w:val="00030EB2"/>
    <w:rsid w:val="00031083"/>
    <w:rsid w:val="0003325C"/>
    <w:rsid w:val="00033441"/>
    <w:rsid w:val="00034B2D"/>
    <w:rsid w:val="00034F8D"/>
    <w:rsid w:val="00035535"/>
    <w:rsid w:val="000373E8"/>
    <w:rsid w:val="00037C69"/>
    <w:rsid w:val="0004090A"/>
    <w:rsid w:val="00041881"/>
    <w:rsid w:val="0004206F"/>
    <w:rsid w:val="00042F46"/>
    <w:rsid w:val="000437C6"/>
    <w:rsid w:val="00043A1A"/>
    <w:rsid w:val="0004409C"/>
    <w:rsid w:val="000443A2"/>
    <w:rsid w:val="00045B7E"/>
    <w:rsid w:val="00046A0F"/>
    <w:rsid w:val="00047946"/>
    <w:rsid w:val="000518C7"/>
    <w:rsid w:val="000521F6"/>
    <w:rsid w:val="00052D88"/>
    <w:rsid w:val="00054059"/>
    <w:rsid w:val="000547C9"/>
    <w:rsid w:val="00054B3D"/>
    <w:rsid w:val="00055588"/>
    <w:rsid w:val="00055FF5"/>
    <w:rsid w:val="00056DC0"/>
    <w:rsid w:val="0005770B"/>
    <w:rsid w:val="00060A08"/>
    <w:rsid w:val="00060D98"/>
    <w:rsid w:val="000611AE"/>
    <w:rsid w:val="00061385"/>
    <w:rsid w:val="00062484"/>
    <w:rsid w:val="00062BF0"/>
    <w:rsid w:val="00063201"/>
    <w:rsid w:val="00063250"/>
    <w:rsid w:val="000635E9"/>
    <w:rsid w:val="0006364B"/>
    <w:rsid w:val="00063DB0"/>
    <w:rsid w:val="0006442B"/>
    <w:rsid w:val="000644EB"/>
    <w:rsid w:val="00064652"/>
    <w:rsid w:val="00064DB1"/>
    <w:rsid w:val="00065834"/>
    <w:rsid w:val="00065EA5"/>
    <w:rsid w:val="0006606E"/>
    <w:rsid w:val="00067741"/>
    <w:rsid w:val="000677DB"/>
    <w:rsid w:val="00067A5D"/>
    <w:rsid w:val="00067D74"/>
    <w:rsid w:val="00070610"/>
    <w:rsid w:val="000708EE"/>
    <w:rsid w:val="00070EB7"/>
    <w:rsid w:val="00070F5E"/>
    <w:rsid w:val="000711AD"/>
    <w:rsid w:val="00071298"/>
    <w:rsid w:val="0007328C"/>
    <w:rsid w:val="0007382C"/>
    <w:rsid w:val="00073A03"/>
    <w:rsid w:val="000740A6"/>
    <w:rsid w:val="0007435D"/>
    <w:rsid w:val="00074D5F"/>
    <w:rsid w:val="00074F6C"/>
    <w:rsid w:val="00076A96"/>
    <w:rsid w:val="0007797B"/>
    <w:rsid w:val="00080288"/>
    <w:rsid w:val="000813D1"/>
    <w:rsid w:val="00081433"/>
    <w:rsid w:val="000831F3"/>
    <w:rsid w:val="00083FE8"/>
    <w:rsid w:val="00084D41"/>
    <w:rsid w:val="000855C0"/>
    <w:rsid w:val="000859D0"/>
    <w:rsid w:val="000868C5"/>
    <w:rsid w:val="000876B1"/>
    <w:rsid w:val="000878BA"/>
    <w:rsid w:val="00090410"/>
    <w:rsid w:val="00090A4B"/>
    <w:rsid w:val="000911AB"/>
    <w:rsid w:val="000918E9"/>
    <w:rsid w:val="00092FBF"/>
    <w:rsid w:val="0009311A"/>
    <w:rsid w:val="0009378F"/>
    <w:rsid w:val="00093911"/>
    <w:rsid w:val="000948F5"/>
    <w:rsid w:val="00095278"/>
    <w:rsid w:val="00096AA2"/>
    <w:rsid w:val="00096DFA"/>
    <w:rsid w:val="000A092E"/>
    <w:rsid w:val="000A1617"/>
    <w:rsid w:val="000A1768"/>
    <w:rsid w:val="000A214E"/>
    <w:rsid w:val="000A2D0C"/>
    <w:rsid w:val="000A3C43"/>
    <w:rsid w:val="000A4E63"/>
    <w:rsid w:val="000A536A"/>
    <w:rsid w:val="000A6277"/>
    <w:rsid w:val="000A6BFE"/>
    <w:rsid w:val="000B009E"/>
    <w:rsid w:val="000B0275"/>
    <w:rsid w:val="000B05D5"/>
    <w:rsid w:val="000B1A36"/>
    <w:rsid w:val="000B24E0"/>
    <w:rsid w:val="000B267D"/>
    <w:rsid w:val="000B3C4C"/>
    <w:rsid w:val="000B41BC"/>
    <w:rsid w:val="000B6C6E"/>
    <w:rsid w:val="000B792B"/>
    <w:rsid w:val="000C1FF9"/>
    <w:rsid w:val="000C34A5"/>
    <w:rsid w:val="000C36B7"/>
    <w:rsid w:val="000C3C01"/>
    <w:rsid w:val="000C476D"/>
    <w:rsid w:val="000C49CC"/>
    <w:rsid w:val="000C5A4F"/>
    <w:rsid w:val="000C5C94"/>
    <w:rsid w:val="000C6006"/>
    <w:rsid w:val="000C67B1"/>
    <w:rsid w:val="000C6A42"/>
    <w:rsid w:val="000C6A92"/>
    <w:rsid w:val="000C701F"/>
    <w:rsid w:val="000C7B3C"/>
    <w:rsid w:val="000D1BB1"/>
    <w:rsid w:val="000D23A6"/>
    <w:rsid w:val="000D2619"/>
    <w:rsid w:val="000D2B99"/>
    <w:rsid w:val="000D335A"/>
    <w:rsid w:val="000D3751"/>
    <w:rsid w:val="000D3EBE"/>
    <w:rsid w:val="000D4032"/>
    <w:rsid w:val="000D4040"/>
    <w:rsid w:val="000D5B4E"/>
    <w:rsid w:val="000D5FB9"/>
    <w:rsid w:val="000D6ADC"/>
    <w:rsid w:val="000D6F9F"/>
    <w:rsid w:val="000D74D8"/>
    <w:rsid w:val="000D7D37"/>
    <w:rsid w:val="000E026D"/>
    <w:rsid w:val="000E0970"/>
    <w:rsid w:val="000E0FC7"/>
    <w:rsid w:val="000E2678"/>
    <w:rsid w:val="000E2F35"/>
    <w:rsid w:val="000E3A8E"/>
    <w:rsid w:val="000E44E5"/>
    <w:rsid w:val="000E7B9F"/>
    <w:rsid w:val="000F051B"/>
    <w:rsid w:val="000F143B"/>
    <w:rsid w:val="000F1C30"/>
    <w:rsid w:val="000F1E7F"/>
    <w:rsid w:val="000F2C35"/>
    <w:rsid w:val="000F348B"/>
    <w:rsid w:val="000F3677"/>
    <w:rsid w:val="000F36F3"/>
    <w:rsid w:val="000F3A8C"/>
    <w:rsid w:val="000F4F16"/>
    <w:rsid w:val="000F5E8B"/>
    <w:rsid w:val="000F71DA"/>
    <w:rsid w:val="000F7C84"/>
    <w:rsid w:val="000F7DAB"/>
    <w:rsid w:val="001001F7"/>
    <w:rsid w:val="00100A7C"/>
    <w:rsid w:val="00102110"/>
    <w:rsid w:val="001030D6"/>
    <w:rsid w:val="00103F2A"/>
    <w:rsid w:val="00104785"/>
    <w:rsid w:val="00105018"/>
    <w:rsid w:val="001070A5"/>
    <w:rsid w:val="0011060F"/>
    <w:rsid w:val="00110EFB"/>
    <w:rsid w:val="001114C0"/>
    <w:rsid w:val="00111CBF"/>
    <w:rsid w:val="00112574"/>
    <w:rsid w:val="00113774"/>
    <w:rsid w:val="0011399E"/>
    <w:rsid w:val="00113A78"/>
    <w:rsid w:val="00113D3F"/>
    <w:rsid w:val="00114D25"/>
    <w:rsid w:val="00115C25"/>
    <w:rsid w:val="00116546"/>
    <w:rsid w:val="00116E03"/>
    <w:rsid w:val="0011717E"/>
    <w:rsid w:val="00117AB1"/>
    <w:rsid w:val="00120B58"/>
    <w:rsid w:val="00120FA6"/>
    <w:rsid w:val="00121720"/>
    <w:rsid w:val="00121CCB"/>
    <w:rsid w:val="0012268B"/>
    <w:rsid w:val="00122CB6"/>
    <w:rsid w:val="001230FB"/>
    <w:rsid w:val="001236FE"/>
    <w:rsid w:val="00123EF2"/>
    <w:rsid w:val="001240EA"/>
    <w:rsid w:val="0012461B"/>
    <w:rsid w:val="001255C3"/>
    <w:rsid w:val="00125BDA"/>
    <w:rsid w:val="001272E4"/>
    <w:rsid w:val="001273B7"/>
    <w:rsid w:val="0013082D"/>
    <w:rsid w:val="00130AAB"/>
    <w:rsid w:val="00130D69"/>
    <w:rsid w:val="00132130"/>
    <w:rsid w:val="001341B6"/>
    <w:rsid w:val="001348F2"/>
    <w:rsid w:val="0013661C"/>
    <w:rsid w:val="00137683"/>
    <w:rsid w:val="001377AD"/>
    <w:rsid w:val="00140906"/>
    <w:rsid w:val="00141D0F"/>
    <w:rsid w:val="00142603"/>
    <w:rsid w:val="00142759"/>
    <w:rsid w:val="00144A8E"/>
    <w:rsid w:val="0014515B"/>
    <w:rsid w:val="0014552C"/>
    <w:rsid w:val="00145716"/>
    <w:rsid w:val="0014661C"/>
    <w:rsid w:val="00146A0A"/>
    <w:rsid w:val="00147587"/>
    <w:rsid w:val="00150740"/>
    <w:rsid w:val="0015093C"/>
    <w:rsid w:val="0015098F"/>
    <w:rsid w:val="00150C5C"/>
    <w:rsid w:val="0015106B"/>
    <w:rsid w:val="0015157C"/>
    <w:rsid w:val="00151ADE"/>
    <w:rsid w:val="00151C1A"/>
    <w:rsid w:val="00152829"/>
    <w:rsid w:val="00153DD9"/>
    <w:rsid w:val="00153E9C"/>
    <w:rsid w:val="00154AF3"/>
    <w:rsid w:val="00156F42"/>
    <w:rsid w:val="001574D7"/>
    <w:rsid w:val="00157AEC"/>
    <w:rsid w:val="00160045"/>
    <w:rsid w:val="00161096"/>
    <w:rsid w:val="001610CD"/>
    <w:rsid w:val="0016184E"/>
    <w:rsid w:val="00161C19"/>
    <w:rsid w:val="00162CAE"/>
    <w:rsid w:val="00163B64"/>
    <w:rsid w:val="001649B0"/>
    <w:rsid w:val="0016569C"/>
    <w:rsid w:val="001657A8"/>
    <w:rsid w:val="001663B0"/>
    <w:rsid w:val="00166C67"/>
    <w:rsid w:val="00167A86"/>
    <w:rsid w:val="00167FA4"/>
    <w:rsid w:val="001700A1"/>
    <w:rsid w:val="0017044E"/>
    <w:rsid w:val="001710CC"/>
    <w:rsid w:val="00171250"/>
    <w:rsid w:val="0017193A"/>
    <w:rsid w:val="00171F81"/>
    <w:rsid w:val="00172F5D"/>
    <w:rsid w:val="00173C4E"/>
    <w:rsid w:val="00173DF0"/>
    <w:rsid w:val="00174D0A"/>
    <w:rsid w:val="001755CA"/>
    <w:rsid w:val="001770E7"/>
    <w:rsid w:val="00177AAC"/>
    <w:rsid w:val="00177C1D"/>
    <w:rsid w:val="001818B4"/>
    <w:rsid w:val="001820B5"/>
    <w:rsid w:val="00182928"/>
    <w:rsid w:val="00182A88"/>
    <w:rsid w:val="00182D4B"/>
    <w:rsid w:val="00182F80"/>
    <w:rsid w:val="0018326B"/>
    <w:rsid w:val="00183B97"/>
    <w:rsid w:val="00183BE2"/>
    <w:rsid w:val="00183EFF"/>
    <w:rsid w:val="0018424C"/>
    <w:rsid w:val="001846E6"/>
    <w:rsid w:val="0018487F"/>
    <w:rsid w:val="001853F3"/>
    <w:rsid w:val="001854D6"/>
    <w:rsid w:val="00185A48"/>
    <w:rsid w:val="001860C3"/>
    <w:rsid w:val="001901E0"/>
    <w:rsid w:val="001902FC"/>
    <w:rsid w:val="00190528"/>
    <w:rsid w:val="001918A8"/>
    <w:rsid w:val="00192C3C"/>
    <w:rsid w:val="0019346B"/>
    <w:rsid w:val="001935C3"/>
    <w:rsid w:val="00194B45"/>
    <w:rsid w:val="00194C98"/>
    <w:rsid w:val="001953D2"/>
    <w:rsid w:val="00195E40"/>
    <w:rsid w:val="001A09D2"/>
    <w:rsid w:val="001A1690"/>
    <w:rsid w:val="001A1BD5"/>
    <w:rsid w:val="001A1D25"/>
    <w:rsid w:val="001A2108"/>
    <w:rsid w:val="001A2DBD"/>
    <w:rsid w:val="001A6612"/>
    <w:rsid w:val="001A670B"/>
    <w:rsid w:val="001A6952"/>
    <w:rsid w:val="001A6F2F"/>
    <w:rsid w:val="001A6FF0"/>
    <w:rsid w:val="001B066E"/>
    <w:rsid w:val="001B1AF9"/>
    <w:rsid w:val="001B2E00"/>
    <w:rsid w:val="001B3F25"/>
    <w:rsid w:val="001B42ED"/>
    <w:rsid w:val="001B483A"/>
    <w:rsid w:val="001B5BE2"/>
    <w:rsid w:val="001B5E7C"/>
    <w:rsid w:val="001B66EC"/>
    <w:rsid w:val="001B6AF0"/>
    <w:rsid w:val="001B6CAB"/>
    <w:rsid w:val="001B7256"/>
    <w:rsid w:val="001B7262"/>
    <w:rsid w:val="001B728C"/>
    <w:rsid w:val="001B75EC"/>
    <w:rsid w:val="001B7BE0"/>
    <w:rsid w:val="001B7FAC"/>
    <w:rsid w:val="001C0E9E"/>
    <w:rsid w:val="001C18EF"/>
    <w:rsid w:val="001C24A7"/>
    <w:rsid w:val="001C38CD"/>
    <w:rsid w:val="001C3A6E"/>
    <w:rsid w:val="001C463D"/>
    <w:rsid w:val="001C6C45"/>
    <w:rsid w:val="001C79CF"/>
    <w:rsid w:val="001D042D"/>
    <w:rsid w:val="001D0E8C"/>
    <w:rsid w:val="001D1E2D"/>
    <w:rsid w:val="001D2813"/>
    <w:rsid w:val="001D4A83"/>
    <w:rsid w:val="001D4ECE"/>
    <w:rsid w:val="001D56DF"/>
    <w:rsid w:val="001D6057"/>
    <w:rsid w:val="001D65E6"/>
    <w:rsid w:val="001D7FA7"/>
    <w:rsid w:val="001E083E"/>
    <w:rsid w:val="001E0D50"/>
    <w:rsid w:val="001E2542"/>
    <w:rsid w:val="001E2A09"/>
    <w:rsid w:val="001E370E"/>
    <w:rsid w:val="001E45F9"/>
    <w:rsid w:val="001E4694"/>
    <w:rsid w:val="001E46B1"/>
    <w:rsid w:val="001E4A16"/>
    <w:rsid w:val="001E5F61"/>
    <w:rsid w:val="001E6B54"/>
    <w:rsid w:val="001E79CE"/>
    <w:rsid w:val="001F0109"/>
    <w:rsid w:val="001F0CE3"/>
    <w:rsid w:val="001F1500"/>
    <w:rsid w:val="001F2887"/>
    <w:rsid w:val="001F2F84"/>
    <w:rsid w:val="001F3722"/>
    <w:rsid w:val="001F3FEC"/>
    <w:rsid w:val="001F40D2"/>
    <w:rsid w:val="001F566F"/>
    <w:rsid w:val="001F6AB1"/>
    <w:rsid w:val="002003F1"/>
    <w:rsid w:val="00200633"/>
    <w:rsid w:val="00200B4B"/>
    <w:rsid w:val="00201D6B"/>
    <w:rsid w:val="00202736"/>
    <w:rsid w:val="00202DC5"/>
    <w:rsid w:val="00202E35"/>
    <w:rsid w:val="00203FCB"/>
    <w:rsid w:val="00204E9C"/>
    <w:rsid w:val="00205976"/>
    <w:rsid w:val="00210A80"/>
    <w:rsid w:val="00210C30"/>
    <w:rsid w:val="00211877"/>
    <w:rsid w:val="0021292A"/>
    <w:rsid w:val="00213BFD"/>
    <w:rsid w:val="00214876"/>
    <w:rsid w:val="00214E38"/>
    <w:rsid w:val="002159F4"/>
    <w:rsid w:val="00215D9E"/>
    <w:rsid w:val="00216431"/>
    <w:rsid w:val="00216CCB"/>
    <w:rsid w:val="00217B8C"/>
    <w:rsid w:val="002200FA"/>
    <w:rsid w:val="0022041A"/>
    <w:rsid w:val="002215E8"/>
    <w:rsid w:val="0022251E"/>
    <w:rsid w:val="00222FE9"/>
    <w:rsid w:val="00223416"/>
    <w:rsid w:val="002243F6"/>
    <w:rsid w:val="00224608"/>
    <w:rsid w:val="002247C7"/>
    <w:rsid w:val="002257FE"/>
    <w:rsid w:val="002266B9"/>
    <w:rsid w:val="00226717"/>
    <w:rsid w:val="00226990"/>
    <w:rsid w:val="00227A57"/>
    <w:rsid w:val="00227B2C"/>
    <w:rsid w:val="00230367"/>
    <w:rsid w:val="0023093E"/>
    <w:rsid w:val="00230A52"/>
    <w:rsid w:val="0023119B"/>
    <w:rsid w:val="0023153D"/>
    <w:rsid w:val="00232456"/>
    <w:rsid w:val="00232DC7"/>
    <w:rsid w:val="00232E9C"/>
    <w:rsid w:val="002330D1"/>
    <w:rsid w:val="0023398A"/>
    <w:rsid w:val="00233D67"/>
    <w:rsid w:val="002341EF"/>
    <w:rsid w:val="002342AD"/>
    <w:rsid w:val="0023442C"/>
    <w:rsid w:val="00234C35"/>
    <w:rsid w:val="00236468"/>
    <w:rsid w:val="00236BCB"/>
    <w:rsid w:val="00236D29"/>
    <w:rsid w:val="00237198"/>
    <w:rsid w:val="00237FFD"/>
    <w:rsid w:val="00242021"/>
    <w:rsid w:val="00244332"/>
    <w:rsid w:val="00244BE1"/>
    <w:rsid w:val="0024548B"/>
    <w:rsid w:val="00245936"/>
    <w:rsid w:val="00246E00"/>
    <w:rsid w:val="00246F42"/>
    <w:rsid w:val="00247A1A"/>
    <w:rsid w:val="002511BA"/>
    <w:rsid w:val="00251292"/>
    <w:rsid w:val="002514DF"/>
    <w:rsid w:val="00251561"/>
    <w:rsid w:val="00251933"/>
    <w:rsid w:val="002530E7"/>
    <w:rsid w:val="00253261"/>
    <w:rsid w:val="002538B5"/>
    <w:rsid w:val="00253AA3"/>
    <w:rsid w:val="00254354"/>
    <w:rsid w:val="00255547"/>
    <w:rsid w:val="002561A8"/>
    <w:rsid w:val="00256277"/>
    <w:rsid w:val="00256309"/>
    <w:rsid w:val="00256699"/>
    <w:rsid w:val="00256BBF"/>
    <w:rsid w:val="002575CE"/>
    <w:rsid w:val="00257727"/>
    <w:rsid w:val="0025796D"/>
    <w:rsid w:val="00257B94"/>
    <w:rsid w:val="0026096D"/>
    <w:rsid w:val="002609EA"/>
    <w:rsid w:val="00260BCE"/>
    <w:rsid w:val="002615C6"/>
    <w:rsid w:val="00261879"/>
    <w:rsid w:val="0026194D"/>
    <w:rsid w:val="00261A36"/>
    <w:rsid w:val="0026208E"/>
    <w:rsid w:val="0026418E"/>
    <w:rsid w:val="002645B8"/>
    <w:rsid w:val="00264F1F"/>
    <w:rsid w:val="00265445"/>
    <w:rsid w:val="00265537"/>
    <w:rsid w:val="00265572"/>
    <w:rsid w:val="00266801"/>
    <w:rsid w:val="00267B45"/>
    <w:rsid w:val="002701C4"/>
    <w:rsid w:val="00270272"/>
    <w:rsid w:val="00270A88"/>
    <w:rsid w:val="002716EF"/>
    <w:rsid w:val="00271AA0"/>
    <w:rsid w:val="002723CA"/>
    <w:rsid w:val="00272427"/>
    <w:rsid w:val="00273033"/>
    <w:rsid w:val="00273854"/>
    <w:rsid w:val="0027399B"/>
    <w:rsid w:val="00273B96"/>
    <w:rsid w:val="002743E4"/>
    <w:rsid w:val="00274DAF"/>
    <w:rsid w:val="00274EC5"/>
    <w:rsid w:val="002758A0"/>
    <w:rsid w:val="00276FC2"/>
    <w:rsid w:val="00277828"/>
    <w:rsid w:val="00277AA4"/>
    <w:rsid w:val="00280311"/>
    <w:rsid w:val="00281798"/>
    <w:rsid w:val="00281A9D"/>
    <w:rsid w:val="0028202C"/>
    <w:rsid w:val="0028300A"/>
    <w:rsid w:val="00283B1B"/>
    <w:rsid w:val="00284246"/>
    <w:rsid w:val="00284822"/>
    <w:rsid w:val="00286E32"/>
    <w:rsid w:val="00286F83"/>
    <w:rsid w:val="00290993"/>
    <w:rsid w:val="00290B9D"/>
    <w:rsid w:val="0029114C"/>
    <w:rsid w:val="00291D15"/>
    <w:rsid w:val="00291E14"/>
    <w:rsid w:val="00291F51"/>
    <w:rsid w:val="00292D09"/>
    <w:rsid w:val="00292FD1"/>
    <w:rsid w:val="002942F8"/>
    <w:rsid w:val="002944D8"/>
    <w:rsid w:val="002950F8"/>
    <w:rsid w:val="0029540B"/>
    <w:rsid w:val="00296AD8"/>
    <w:rsid w:val="002A054A"/>
    <w:rsid w:val="002A0BEC"/>
    <w:rsid w:val="002A0C9C"/>
    <w:rsid w:val="002A15E9"/>
    <w:rsid w:val="002A1F6F"/>
    <w:rsid w:val="002A3414"/>
    <w:rsid w:val="002A401A"/>
    <w:rsid w:val="002A430B"/>
    <w:rsid w:val="002A4703"/>
    <w:rsid w:val="002A4ECB"/>
    <w:rsid w:val="002A54ED"/>
    <w:rsid w:val="002A5C52"/>
    <w:rsid w:val="002A5D4D"/>
    <w:rsid w:val="002A67B3"/>
    <w:rsid w:val="002A6861"/>
    <w:rsid w:val="002A70C4"/>
    <w:rsid w:val="002A7A16"/>
    <w:rsid w:val="002B1366"/>
    <w:rsid w:val="002B173F"/>
    <w:rsid w:val="002B1840"/>
    <w:rsid w:val="002B23D8"/>
    <w:rsid w:val="002B2864"/>
    <w:rsid w:val="002B2873"/>
    <w:rsid w:val="002B3579"/>
    <w:rsid w:val="002B3590"/>
    <w:rsid w:val="002B49F9"/>
    <w:rsid w:val="002B5CC6"/>
    <w:rsid w:val="002B6DCB"/>
    <w:rsid w:val="002C00C6"/>
    <w:rsid w:val="002C0C31"/>
    <w:rsid w:val="002C1EA1"/>
    <w:rsid w:val="002C271A"/>
    <w:rsid w:val="002C2DDA"/>
    <w:rsid w:val="002C3085"/>
    <w:rsid w:val="002C3B13"/>
    <w:rsid w:val="002C4C61"/>
    <w:rsid w:val="002C500B"/>
    <w:rsid w:val="002C50B1"/>
    <w:rsid w:val="002C5AD8"/>
    <w:rsid w:val="002C5BDB"/>
    <w:rsid w:val="002C75D9"/>
    <w:rsid w:val="002C7FBD"/>
    <w:rsid w:val="002D0587"/>
    <w:rsid w:val="002D2672"/>
    <w:rsid w:val="002D2C26"/>
    <w:rsid w:val="002D68E7"/>
    <w:rsid w:val="002D6A34"/>
    <w:rsid w:val="002D7537"/>
    <w:rsid w:val="002D7D5E"/>
    <w:rsid w:val="002D7F4E"/>
    <w:rsid w:val="002E02F6"/>
    <w:rsid w:val="002E035F"/>
    <w:rsid w:val="002E1144"/>
    <w:rsid w:val="002E28EB"/>
    <w:rsid w:val="002E3160"/>
    <w:rsid w:val="002E3883"/>
    <w:rsid w:val="002E3DCE"/>
    <w:rsid w:val="002E406C"/>
    <w:rsid w:val="002E40BF"/>
    <w:rsid w:val="002E4578"/>
    <w:rsid w:val="002E59CD"/>
    <w:rsid w:val="002E5B25"/>
    <w:rsid w:val="002E5D66"/>
    <w:rsid w:val="002E65F0"/>
    <w:rsid w:val="002E745D"/>
    <w:rsid w:val="002E74A9"/>
    <w:rsid w:val="002E774C"/>
    <w:rsid w:val="002E7CAA"/>
    <w:rsid w:val="002F1027"/>
    <w:rsid w:val="002F120C"/>
    <w:rsid w:val="002F1550"/>
    <w:rsid w:val="002F2198"/>
    <w:rsid w:val="002F313B"/>
    <w:rsid w:val="002F56D2"/>
    <w:rsid w:val="002F60EC"/>
    <w:rsid w:val="002F6A54"/>
    <w:rsid w:val="002F75F2"/>
    <w:rsid w:val="002F7D36"/>
    <w:rsid w:val="0030050E"/>
    <w:rsid w:val="003005FC"/>
    <w:rsid w:val="003010E7"/>
    <w:rsid w:val="003012C7"/>
    <w:rsid w:val="003013FD"/>
    <w:rsid w:val="00302548"/>
    <w:rsid w:val="00302A82"/>
    <w:rsid w:val="003036A1"/>
    <w:rsid w:val="003036C3"/>
    <w:rsid w:val="003057CC"/>
    <w:rsid w:val="00307024"/>
    <w:rsid w:val="003123C4"/>
    <w:rsid w:val="00312460"/>
    <w:rsid w:val="0031290D"/>
    <w:rsid w:val="00313413"/>
    <w:rsid w:val="003135BF"/>
    <w:rsid w:val="00314705"/>
    <w:rsid w:val="003151B6"/>
    <w:rsid w:val="003176C5"/>
    <w:rsid w:val="0032054C"/>
    <w:rsid w:val="003209A4"/>
    <w:rsid w:val="00320B35"/>
    <w:rsid w:val="00320D65"/>
    <w:rsid w:val="00321588"/>
    <w:rsid w:val="003224CA"/>
    <w:rsid w:val="003232DF"/>
    <w:rsid w:val="003253F1"/>
    <w:rsid w:val="003258BD"/>
    <w:rsid w:val="00325ACC"/>
    <w:rsid w:val="00327E40"/>
    <w:rsid w:val="0033009B"/>
    <w:rsid w:val="00330325"/>
    <w:rsid w:val="003304B2"/>
    <w:rsid w:val="0033052E"/>
    <w:rsid w:val="00330727"/>
    <w:rsid w:val="00330FBD"/>
    <w:rsid w:val="00331603"/>
    <w:rsid w:val="00331EBC"/>
    <w:rsid w:val="003320A5"/>
    <w:rsid w:val="003324B7"/>
    <w:rsid w:val="00332A69"/>
    <w:rsid w:val="003331D6"/>
    <w:rsid w:val="00333732"/>
    <w:rsid w:val="00333A17"/>
    <w:rsid w:val="00333EFC"/>
    <w:rsid w:val="00334BF8"/>
    <w:rsid w:val="00335713"/>
    <w:rsid w:val="003362BF"/>
    <w:rsid w:val="00336789"/>
    <w:rsid w:val="003368F9"/>
    <w:rsid w:val="00336ACF"/>
    <w:rsid w:val="00336F21"/>
    <w:rsid w:val="00336F70"/>
    <w:rsid w:val="00337A98"/>
    <w:rsid w:val="0034015A"/>
    <w:rsid w:val="0034025C"/>
    <w:rsid w:val="0034078F"/>
    <w:rsid w:val="003412ED"/>
    <w:rsid w:val="00341741"/>
    <w:rsid w:val="00342393"/>
    <w:rsid w:val="00342441"/>
    <w:rsid w:val="003428F6"/>
    <w:rsid w:val="0034291C"/>
    <w:rsid w:val="00342DB8"/>
    <w:rsid w:val="003430C2"/>
    <w:rsid w:val="00343393"/>
    <w:rsid w:val="00343551"/>
    <w:rsid w:val="00344AA6"/>
    <w:rsid w:val="0034513D"/>
    <w:rsid w:val="003452FF"/>
    <w:rsid w:val="00347677"/>
    <w:rsid w:val="003501A5"/>
    <w:rsid w:val="0035048D"/>
    <w:rsid w:val="00350933"/>
    <w:rsid w:val="003513FB"/>
    <w:rsid w:val="00351967"/>
    <w:rsid w:val="0035234A"/>
    <w:rsid w:val="0035314F"/>
    <w:rsid w:val="003539F6"/>
    <w:rsid w:val="00353AB5"/>
    <w:rsid w:val="00353BCF"/>
    <w:rsid w:val="003540DE"/>
    <w:rsid w:val="003542C0"/>
    <w:rsid w:val="00354A42"/>
    <w:rsid w:val="00354F5D"/>
    <w:rsid w:val="00356164"/>
    <w:rsid w:val="00356407"/>
    <w:rsid w:val="003569B5"/>
    <w:rsid w:val="003571BA"/>
    <w:rsid w:val="00357926"/>
    <w:rsid w:val="00360F6A"/>
    <w:rsid w:val="00360FD2"/>
    <w:rsid w:val="003616A0"/>
    <w:rsid w:val="0036182F"/>
    <w:rsid w:val="00362697"/>
    <w:rsid w:val="0036322E"/>
    <w:rsid w:val="00366129"/>
    <w:rsid w:val="0036620E"/>
    <w:rsid w:val="00366A8A"/>
    <w:rsid w:val="00367AFC"/>
    <w:rsid w:val="003702A3"/>
    <w:rsid w:val="00370EA2"/>
    <w:rsid w:val="003714A4"/>
    <w:rsid w:val="00371AFD"/>
    <w:rsid w:val="00371F3C"/>
    <w:rsid w:val="003725B5"/>
    <w:rsid w:val="00373103"/>
    <w:rsid w:val="0037320C"/>
    <w:rsid w:val="00373448"/>
    <w:rsid w:val="00375A90"/>
    <w:rsid w:val="00375AFA"/>
    <w:rsid w:val="00375B4B"/>
    <w:rsid w:val="00376772"/>
    <w:rsid w:val="0037688F"/>
    <w:rsid w:val="00376A4D"/>
    <w:rsid w:val="0037760D"/>
    <w:rsid w:val="00377CED"/>
    <w:rsid w:val="003821A6"/>
    <w:rsid w:val="00382A38"/>
    <w:rsid w:val="00383044"/>
    <w:rsid w:val="003831C8"/>
    <w:rsid w:val="003844F1"/>
    <w:rsid w:val="00384521"/>
    <w:rsid w:val="003845E5"/>
    <w:rsid w:val="00384664"/>
    <w:rsid w:val="00384FC3"/>
    <w:rsid w:val="003857C2"/>
    <w:rsid w:val="00385C0B"/>
    <w:rsid w:val="00386110"/>
    <w:rsid w:val="00387EF8"/>
    <w:rsid w:val="00391216"/>
    <w:rsid w:val="00391563"/>
    <w:rsid w:val="003916D1"/>
    <w:rsid w:val="003916FC"/>
    <w:rsid w:val="0039312C"/>
    <w:rsid w:val="003931DC"/>
    <w:rsid w:val="0039339F"/>
    <w:rsid w:val="003935FB"/>
    <w:rsid w:val="003944EF"/>
    <w:rsid w:val="00394B65"/>
    <w:rsid w:val="003953C2"/>
    <w:rsid w:val="00395CBA"/>
    <w:rsid w:val="00395E71"/>
    <w:rsid w:val="00397DE2"/>
    <w:rsid w:val="003A035E"/>
    <w:rsid w:val="003A09FF"/>
    <w:rsid w:val="003A1714"/>
    <w:rsid w:val="003A1A62"/>
    <w:rsid w:val="003A41FD"/>
    <w:rsid w:val="003A5E8E"/>
    <w:rsid w:val="003A6585"/>
    <w:rsid w:val="003A6C2B"/>
    <w:rsid w:val="003A7A23"/>
    <w:rsid w:val="003A7D82"/>
    <w:rsid w:val="003B0333"/>
    <w:rsid w:val="003B03A0"/>
    <w:rsid w:val="003B06A0"/>
    <w:rsid w:val="003B0E1D"/>
    <w:rsid w:val="003B4467"/>
    <w:rsid w:val="003B455B"/>
    <w:rsid w:val="003B6AB3"/>
    <w:rsid w:val="003B6CB8"/>
    <w:rsid w:val="003B6CE4"/>
    <w:rsid w:val="003B7459"/>
    <w:rsid w:val="003B753B"/>
    <w:rsid w:val="003B7B37"/>
    <w:rsid w:val="003C0369"/>
    <w:rsid w:val="003C0DA3"/>
    <w:rsid w:val="003C1529"/>
    <w:rsid w:val="003C191C"/>
    <w:rsid w:val="003C2A3E"/>
    <w:rsid w:val="003C2C84"/>
    <w:rsid w:val="003C3002"/>
    <w:rsid w:val="003C3CDA"/>
    <w:rsid w:val="003C796B"/>
    <w:rsid w:val="003C7E4B"/>
    <w:rsid w:val="003D0664"/>
    <w:rsid w:val="003D1B59"/>
    <w:rsid w:val="003D1FE9"/>
    <w:rsid w:val="003D263D"/>
    <w:rsid w:val="003D3AAC"/>
    <w:rsid w:val="003D3BB2"/>
    <w:rsid w:val="003D3E28"/>
    <w:rsid w:val="003D5215"/>
    <w:rsid w:val="003D5ACB"/>
    <w:rsid w:val="003D5DB4"/>
    <w:rsid w:val="003D6025"/>
    <w:rsid w:val="003D6A83"/>
    <w:rsid w:val="003D7001"/>
    <w:rsid w:val="003D78F0"/>
    <w:rsid w:val="003E081C"/>
    <w:rsid w:val="003E1D49"/>
    <w:rsid w:val="003E2783"/>
    <w:rsid w:val="003E327E"/>
    <w:rsid w:val="003E338D"/>
    <w:rsid w:val="003E3E43"/>
    <w:rsid w:val="003E4692"/>
    <w:rsid w:val="003E5FD0"/>
    <w:rsid w:val="003E60D4"/>
    <w:rsid w:val="003E71D2"/>
    <w:rsid w:val="003F0103"/>
    <w:rsid w:val="003F0610"/>
    <w:rsid w:val="003F0D35"/>
    <w:rsid w:val="003F0DEC"/>
    <w:rsid w:val="003F1119"/>
    <w:rsid w:val="003F1775"/>
    <w:rsid w:val="003F3167"/>
    <w:rsid w:val="003F341F"/>
    <w:rsid w:val="003F3881"/>
    <w:rsid w:val="003F395F"/>
    <w:rsid w:val="003F4A77"/>
    <w:rsid w:val="003F4A84"/>
    <w:rsid w:val="003F6076"/>
    <w:rsid w:val="003F60DD"/>
    <w:rsid w:val="003F6701"/>
    <w:rsid w:val="003F678E"/>
    <w:rsid w:val="003F6DDD"/>
    <w:rsid w:val="003F70BA"/>
    <w:rsid w:val="00400223"/>
    <w:rsid w:val="004003C9"/>
    <w:rsid w:val="004004CA"/>
    <w:rsid w:val="00400BE4"/>
    <w:rsid w:val="004011D7"/>
    <w:rsid w:val="00401C2E"/>
    <w:rsid w:val="00401DDC"/>
    <w:rsid w:val="00402398"/>
    <w:rsid w:val="004026AB"/>
    <w:rsid w:val="00402C9F"/>
    <w:rsid w:val="00402DE9"/>
    <w:rsid w:val="0040316A"/>
    <w:rsid w:val="004036C1"/>
    <w:rsid w:val="0040378D"/>
    <w:rsid w:val="0040396D"/>
    <w:rsid w:val="00403971"/>
    <w:rsid w:val="00403DBE"/>
    <w:rsid w:val="00404232"/>
    <w:rsid w:val="00405B29"/>
    <w:rsid w:val="004069BF"/>
    <w:rsid w:val="00407071"/>
    <w:rsid w:val="004071E5"/>
    <w:rsid w:val="004077F8"/>
    <w:rsid w:val="0041055F"/>
    <w:rsid w:val="0041118E"/>
    <w:rsid w:val="0041140A"/>
    <w:rsid w:val="004114C3"/>
    <w:rsid w:val="00411665"/>
    <w:rsid w:val="0041238B"/>
    <w:rsid w:val="00412933"/>
    <w:rsid w:val="00412C8B"/>
    <w:rsid w:val="00412CE7"/>
    <w:rsid w:val="00412ED5"/>
    <w:rsid w:val="004139CA"/>
    <w:rsid w:val="00414A09"/>
    <w:rsid w:val="00415681"/>
    <w:rsid w:val="00415AE2"/>
    <w:rsid w:val="00415C6F"/>
    <w:rsid w:val="00416A33"/>
    <w:rsid w:val="00416C6E"/>
    <w:rsid w:val="00417372"/>
    <w:rsid w:val="00421024"/>
    <w:rsid w:val="00421DBF"/>
    <w:rsid w:val="00422F47"/>
    <w:rsid w:val="00422F96"/>
    <w:rsid w:val="004230AC"/>
    <w:rsid w:val="00423288"/>
    <w:rsid w:val="00424B0B"/>
    <w:rsid w:val="00426226"/>
    <w:rsid w:val="00426ED9"/>
    <w:rsid w:val="004271C5"/>
    <w:rsid w:val="00427485"/>
    <w:rsid w:val="004302AC"/>
    <w:rsid w:val="0043080F"/>
    <w:rsid w:val="00431A98"/>
    <w:rsid w:val="00431F92"/>
    <w:rsid w:val="0043217B"/>
    <w:rsid w:val="004321CF"/>
    <w:rsid w:val="0043293F"/>
    <w:rsid w:val="0043339F"/>
    <w:rsid w:val="00433F68"/>
    <w:rsid w:val="0043480F"/>
    <w:rsid w:val="00434F21"/>
    <w:rsid w:val="00435253"/>
    <w:rsid w:val="00436317"/>
    <w:rsid w:val="004364A9"/>
    <w:rsid w:val="004367C6"/>
    <w:rsid w:val="0043707C"/>
    <w:rsid w:val="00437118"/>
    <w:rsid w:val="00440634"/>
    <w:rsid w:val="004414B5"/>
    <w:rsid w:val="00441512"/>
    <w:rsid w:val="00443FCD"/>
    <w:rsid w:val="00444711"/>
    <w:rsid w:val="00444C35"/>
    <w:rsid w:val="00444DE5"/>
    <w:rsid w:val="00444FE2"/>
    <w:rsid w:val="00445C8D"/>
    <w:rsid w:val="00445F83"/>
    <w:rsid w:val="004462CF"/>
    <w:rsid w:val="0044689F"/>
    <w:rsid w:val="00446A4D"/>
    <w:rsid w:val="00446A5C"/>
    <w:rsid w:val="00446D5F"/>
    <w:rsid w:val="0044715C"/>
    <w:rsid w:val="00450150"/>
    <w:rsid w:val="0045209C"/>
    <w:rsid w:val="004524CA"/>
    <w:rsid w:val="004527BD"/>
    <w:rsid w:val="0045292F"/>
    <w:rsid w:val="0045352E"/>
    <w:rsid w:val="00453E75"/>
    <w:rsid w:val="0045414A"/>
    <w:rsid w:val="004546D8"/>
    <w:rsid w:val="00455643"/>
    <w:rsid w:val="00456642"/>
    <w:rsid w:val="00456FBE"/>
    <w:rsid w:val="0045723E"/>
    <w:rsid w:val="0045742F"/>
    <w:rsid w:val="0046070A"/>
    <w:rsid w:val="004608B2"/>
    <w:rsid w:val="0046123C"/>
    <w:rsid w:val="004626A0"/>
    <w:rsid w:val="00462A1C"/>
    <w:rsid w:val="00462B7F"/>
    <w:rsid w:val="00462EC9"/>
    <w:rsid w:val="00463241"/>
    <w:rsid w:val="004637B7"/>
    <w:rsid w:val="004639B9"/>
    <w:rsid w:val="00464494"/>
    <w:rsid w:val="00465025"/>
    <w:rsid w:val="004658EB"/>
    <w:rsid w:val="00465A51"/>
    <w:rsid w:val="00467334"/>
    <w:rsid w:val="004675CE"/>
    <w:rsid w:val="00470F70"/>
    <w:rsid w:val="00470F82"/>
    <w:rsid w:val="004715A2"/>
    <w:rsid w:val="00471B12"/>
    <w:rsid w:val="00476379"/>
    <w:rsid w:val="004768A4"/>
    <w:rsid w:val="00476A1D"/>
    <w:rsid w:val="00477893"/>
    <w:rsid w:val="0048099C"/>
    <w:rsid w:val="00480FFA"/>
    <w:rsid w:val="0048188A"/>
    <w:rsid w:val="0048197E"/>
    <w:rsid w:val="00482EEF"/>
    <w:rsid w:val="00482F96"/>
    <w:rsid w:val="00483C9F"/>
    <w:rsid w:val="00484046"/>
    <w:rsid w:val="00484764"/>
    <w:rsid w:val="00484DA0"/>
    <w:rsid w:val="00484F63"/>
    <w:rsid w:val="00485B71"/>
    <w:rsid w:val="00487D15"/>
    <w:rsid w:val="00487E78"/>
    <w:rsid w:val="00490856"/>
    <w:rsid w:val="00490934"/>
    <w:rsid w:val="0049230B"/>
    <w:rsid w:val="00493B16"/>
    <w:rsid w:val="00494091"/>
    <w:rsid w:val="0049551E"/>
    <w:rsid w:val="0049585F"/>
    <w:rsid w:val="00496A9F"/>
    <w:rsid w:val="004A0CF3"/>
    <w:rsid w:val="004A16F6"/>
    <w:rsid w:val="004A1DE8"/>
    <w:rsid w:val="004A266A"/>
    <w:rsid w:val="004A2B4F"/>
    <w:rsid w:val="004A3461"/>
    <w:rsid w:val="004A64B4"/>
    <w:rsid w:val="004A75ED"/>
    <w:rsid w:val="004A77BE"/>
    <w:rsid w:val="004B0905"/>
    <w:rsid w:val="004B0D65"/>
    <w:rsid w:val="004B0DCD"/>
    <w:rsid w:val="004B182E"/>
    <w:rsid w:val="004B18C7"/>
    <w:rsid w:val="004B1DDD"/>
    <w:rsid w:val="004B1FC6"/>
    <w:rsid w:val="004B35FA"/>
    <w:rsid w:val="004B49F9"/>
    <w:rsid w:val="004B4AE8"/>
    <w:rsid w:val="004B4B1B"/>
    <w:rsid w:val="004B7CDE"/>
    <w:rsid w:val="004C139D"/>
    <w:rsid w:val="004C3AE3"/>
    <w:rsid w:val="004C482C"/>
    <w:rsid w:val="004C6091"/>
    <w:rsid w:val="004C637D"/>
    <w:rsid w:val="004C6A8B"/>
    <w:rsid w:val="004C79F7"/>
    <w:rsid w:val="004C7DB5"/>
    <w:rsid w:val="004D092C"/>
    <w:rsid w:val="004D11CF"/>
    <w:rsid w:val="004D1EF2"/>
    <w:rsid w:val="004D2124"/>
    <w:rsid w:val="004D2130"/>
    <w:rsid w:val="004D22BF"/>
    <w:rsid w:val="004D357E"/>
    <w:rsid w:val="004D454F"/>
    <w:rsid w:val="004D4566"/>
    <w:rsid w:val="004D49AB"/>
    <w:rsid w:val="004D4EAA"/>
    <w:rsid w:val="004D58E6"/>
    <w:rsid w:val="004D5EF2"/>
    <w:rsid w:val="004D72D1"/>
    <w:rsid w:val="004D7EB0"/>
    <w:rsid w:val="004E029D"/>
    <w:rsid w:val="004E05F2"/>
    <w:rsid w:val="004E0AD7"/>
    <w:rsid w:val="004E19A7"/>
    <w:rsid w:val="004E1B18"/>
    <w:rsid w:val="004E1CFA"/>
    <w:rsid w:val="004E1DCB"/>
    <w:rsid w:val="004E2C9E"/>
    <w:rsid w:val="004E3B26"/>
    <w:rsid w:val="004E433B"/>
    <w:rsid w:val="004E45EF"/>
    <w:rsid w:val="004E6FD4"/>
    <w:rsid w:val="004E7C66"/>
    <w:rsid w:val="004F18ED"/>
    <w:rsid w:val="004F1AE7"/>
    <w:rsid w:val="004F1BE3"/>
    <w:rsid w:val="004F39C6"/>
    <w:rsid w:val="004F4694"/>
    <w:rsid w:val="004F4A22"/>
    <w:rsid w:val="004F4B30"/>
    <w:rsid w:val="004F57BA"/>
    <w:rsid w:val="004F5CDA"/>
    <w:rsid w:val="004F646B"/>
    <w:rsid w:val="004F7648"/>
    <w:rsid w:val="004F7A36"/>
    <w:rsid w:val="00500148"/>
    <w:rsid w:val="00500F05"/>
    <w:rsid w:val="005026C8"/>
    <w:rsid w:val="00502C72"/>
    <w:rsid w:val="0050355B"/>
    <w:rsid w:val="0050370D"/>
    <w:rsid w:val="00503E21"/>
    <w:rsid w:val="005050A3"/>
    <w:rsid w:val="00505362"/>
    <w:rsid w:val="005053BE"/>
    <w:rsid w:val="00510676"/>
    <w:rsid w:val="00511D82"/>
    <w:rsid w:val="00512248"/>
    <w:rsid w:val="00512E5D"/>
    <w:rsid w:val="0051302B"/>
    <w:rsid w:val="00513733"/>
    <w:rsid w:val="005151F7"/>
    <w:rsid w:val="005154F7"/>
    <w:rsid w:val="00515D30"/>
    <w:rsid w:val="00516126"/>
    <w:rsid w:val="00516783"/>
    <w:rsid w:val="00516B19"/>
    <w:rsid w:val="00517395"/>
    <w:rsid w:val="0051772E"/>
    <w:rsid w:val="00520009"/>
    <w:rsid w:val="0052253C"/>
    <w:rsid w:val="00523E9B"/>
    <w:rsid w:val="005270E8"/>
    <w:rsid w:val="00532066"/>
    <w:rsid w:val="005328BE"/>
    <w:rsid w:val="005347E5"/>
    <w:rsid w:val="0053483B"/>
    <w:rsid w:val="00534927"/>
    <w:rsid w:val="00534DEA"/>
    <w:rsid w:val="0053610A"/>
    <w:rsid w:val="00537BA7"/>
    <w:rsid w:val="00541292"/>
    <w:rsid w:val="0054176D"/>
    <w:rsid w:val="00542026"/>
    <w:rsid w:val="00542560"/>
    <w:rsid w:val="00543C71"/>
    <w:rsid w:val="00544D3F"/>
    <w:rsid w:val="00545B86"/>
    <w:rsid w:val="00545C61"/>
    <w:rsid w:val="00547600"/>
    <w:rsid w:val="00550127"/>
    <w:rsid w:val="00550128"/>
    <w:rsid w:val="00550D0B"/>
    <w:rsid w:val="005516DA"/>
    <w:rsid w:val="00551B88"/>
    <w:rsid w:val="005523FA"/>
    <w:rsid w:val="00552B2F"/>
    <w:rsid w:val="00553F7B"/>
    <w:rsid w:val="00554575"/>
    <w:rsid w:val="00554C1E"/>
    <w:rsid w:val="00554C24"/>
    <w:rsid w:val="005553C8"/>
    <w:rsid w:val="00556B85"/>
    <w:rsid w:val="00556C54"/>
    <w:rsid w:val="0055701C"/>
    <w:rsid w:val="0055706F"/>
    <w:rsid w:val="00557D0E"/>
    <w:rsid w:val="00560343"/>
    <w:rsid w:val="00560B8C"/>
    <w:rsid w:val="00561500"/>
    <w:rsid w:val="0056257B"/>
    <w:rsid w:val="00563262"/>
    <w:rsid w:val="00566F98"/>
    <w:rsid w:val="0056732B"/>
    <w:rsid w:val="00567363"/>
    <w:rsid w:val="00570213"/>
    <w:rsid w:val="00570270"/>
    <w:rsid w:val="00571AAF"/>
    <w:rsid w:val="00571CB0"/>
    <w:rsid w:val="00571EF2"/>
    <w:rsid w:val="00573722"/>
    <w:rsid w:val="00573C5E"/>
    <w:rsid w:val="0057489B"/>
    <w:rsid w:val="005758EE"/>
    <w:rsid w:val="00575E84"/>
    <w:rsid w:val="00576B5B"/>
    <w:rsid w:val="005803BE"/>
    <w:rsid w:val="0058140D"/>
    <w:rsid w:val="00581EF5"/>
    <w:rsid w:val="005839F5"/>
    <w:rsid w:val="00583AB8"/>
    <w:rsid w:val="00585B47"/>
    <w:rsid w:val="005902F6"/>
    <w:rsid w:val="00590D33"/>
    <w:rsid w:val="0059224F"/>
    <w:rsid w:val="00592A7F"/>
    <w:rsid w:val="00593609"/>
    <w:rsid w:val="00594301"/>
    <w:rsid w:val="00596872"/>
    <w:rsid w:val="00596EE7"/>
    <w:rsid w:val="00597057"/>
    <w:rsid w:val="00597A4A"/>
    <w:rsid w:val="00597BD4"/>
    <w:rsid w:val="005A0814"/>
    <w:rsid w:val="005A1F73"/>
    <w:rsid w:val="005A2DB9"/>
    <w:rsid w:val="005A392E"/>
    <w:rsid w:val="005A3B86"/>
    <w:rsid w:val="005A4526"/>
    <w:rsid w:val="005A5657"/>
    <w:rsid w:val="005A59EC"/>
    <w:rsid w:val="005A6319"/>
    <w:rsid w:val="005A6499"/>
    <w:rsid w:val="005A7527"/>
    <w:rsid w:val="005B13F5"/>
    <w:rsid w:val="005B265A"/>
    <w:rsid w:val="005B2712"/>
    <w:rsid w:val="005B33E3"/>
    <w:rsid w:val="005B6877"/>
    <w:rsid w:val="005B7071"/>
    <w:rsid w:val="005B7E27"/>
    <w:rsid w:val="005B7EA3"/>
    <w:rsid w:val="005C10C0"/>
    <w:rsid w:val="005C1845"/>
    <w:rsid w:val="005C2A82"/>
    <w:rsid w:val="005C2E73"/>
    <w:rsid w:val="005C2ED0"/>
    <w:rsid w:val="005C3A13"/>
    <w:rsid w:val="005C4374"/>
    <w:rsid w:val="005C440E"/>
    <w:rsid w:val="005C5431"/>
    <w:rsid w:val="005C5D0A"/>
    <w:rsid w:val="005C676F"/>
    <w:rsid w:val="005C68F2"/>
    <w:rsid w:val="005C73E5"/>
    <w:rsid w:val="005C7D49"/>
    <w:rsid w:val="005D0324"/>
    <w:rsid w:val="005D0DA7"/>
    <w:rsid w:val="005D0E1C"/>
    <w:rsid w:val="005D0FC9"/>
    <w:rsid w:val="005D1BD3"/>
    <w:rsid w:val="005D28EC"/>
    <w:rsid w:val="005D3054"/>
    <w:rsid w:val="005D40B9"/>
    <w:rsid w:val="005D4B57"/>
    <w:rsid w:val="005D57B2"/>
    <w:rsid w:val="005D5842"/>
    <w:rsid w:val="005D7B2E"/>
    <w:rsid w:val="005E0400"/>
    <w:rsid w:val="005E1246"/>
    <w:rsid w:val="005E28F4"/>
    <w:rsid w:val="005E368B"/>
    <w:rsid w:val="005E3B3A"/>
    <w:rsid w:val="005E4229"/>
    <w:rsid w:val="005E4F06"/>
    <w:rsid w:val="005E4F98"/>
    <w:rsid w:val="005E56C0"/>
    <w:rsid w:val="005E62C0"/>
    <w:rsid w:val="005E6700"/>
    <w:rsid w:val="005E6DA6"/>
    <w:rsid w:val="005E75AC"/>
    <w:rsid w:val="005F14C8"/>
    <w:rsid w:val="005F1A66"/>
    <w:rsid w:val="005F1A82"/>
    <w:rsid w:val="005F372E"/>
    <w:rsid w:val="005F386E"/>
    <w:rsid w:val="005F3B9A"/>
    <w:rsid w:val="005F4C22"/>
    <w:rsid w:val="005F5ECF"/>
    <w:rsid w:val="005F5F18"/>
    <w:rsid w:val="005F6E61"/>
    <w:rsid w:val="005F6F01"/>
    <w:rsid w:val="005F7A90"/>
    <w:rsid w:val="005F7F7F"/>
    <w:rsid w:val="00600066"/>
    <w:rsid w:val="00600789"/>
    <w:rsid w:val="00600E0C"/>
    <w:rsid w:val="006017A6"/>
    <w:rsid w:val="00601F8F"/>
    <w:rsid w:val="00602BE6"/>
    <w:rsid w:val="006031D1"/>
    <w:rsid w:val="006057E4"/>
    <w:rsid w:val="006064F8"/>
    <w:rsid w:val="0060711D"/>
    <w:rsid w:val="00607728"/>
    <w:rsid w:val="00610778"/>
    <w:rsid w:val="006114BA"/>
    <w:rsid w:val="00611BAF"/>
    <w:rsid w:val="00612A1A"/>
    <w:rsid w:val="006133B5"/>
    <w:rsid w:val="00614032"/>
    <w:rsid w:val="006148F6"/>
    <w:rsid w:val="00617C62"/>
    <w:rsid w:val="006208B0"/>
    <w:rsid w:val="00620AE9"/>
    <w:rsid w:val="00620E4C"/>
    <w:rsid w:val="006220B8"/>
    <w:rsid w:val="00622109"/>
    <w:rsid w:val="006221F0"/>
    <w:rsid w:val="00622C99"/>
    <w:rsid w:val="0062333D"/>
    <w:rsid w:val="00623AEC"/>
    <w:rsid w:val="00625779"/>
    <w:rsid w:val="00625C0B"/>
    <w:rsid w:val="006266FF"/>
    <w:rsid w:val="00626E17"/>
    <w:rsid w:val="006270B1"/>
    <w:rsid w:val="00632B4B"/>
    <w:rsid w:val="00632D5A"/>
    <w:rsid w:val="006332F8"/>
    <w:rsid w:val="00634F66"/>
    <w:rsid w:val="00635D90"/>
    <w:rsid w:val="006365D2"/>
    <w:rsid w:val="00636813"/>
    <w:rsid w:val="00636FDE"/>
    <w:rsid w:val="0063766E"/>
    <w:rsid w:val="006379C5"/>
    <w:rsid w:val="006379E9"/>
    <w:rsid w:val="00637BC7"/>
    <w:rsid w:val="00640AEF"/>
    <w:rsid w:val="00641002"/>
    <w:rsid w:val="006417B1"/>
    <w:rsid w:val="00642100"/>
    <w:rsid w:val="00642208"/>
    <w:rsid w:val="00642BB9"/>
    <w:rsid w:val="00642FB2"/>
    <w:rsid w:val="0064301D"/>
    <w:rsid w:val="0064336E"/>
    <w:rsid w:val="006433DF"/>
    <w:rsid w:val="006434F3"/>
    <w:rsid w:val="0064377F"/>
    <w:rsid w:val="00643970"/>
    <w:rsid w:val="006443ED"/>
    <w:rsid w:val="006464BB"/>
    <w:rsid w:val="00646975"/>
    <w:rsid w:val="00646CAC"/>
    <w:rsid w:val="0064766E"/>
    <w:rsid w:val="006500AE"/>
    <w:rsid w:val="00650100"/>
    <w:rsid w:val="0065045E"/>
    <w:rsid w:val="00650D72"/>
    <w:rsid w:val="00650EED"/>
    <w:rsid w:val="0065176B"/>
    <w:rsid w:val="006524A6"/>
    <w:rsid w:val="00655C4F"/>
    <w:rsid w:val="00655CD5"/>
    <w:rsid w:val="00655E9E"/>
    <w:rsid w:val="0065629B"/>
    <w:rsid w:val="00656C49"/>
    <w:rsid w:val="00660749"/>
    <w:rsid w:val="00660844"/>
    <w:rsid w:val="00661557"/>
    <w:rsid w:val="00663170"/>
    <w:rsid w:val="0066319E"/>
    <w:rsid w:val="00663416"/>
    <w:rsid w:val="00663D74"/>
    <w:rsid w:val="006679CF"/>
    <w:rsid w:val="006718C5"/>
    <w:rsid w:val="006734C4"/>
    <w:rsid w:val="0067370B"/>
    <w:rsid w:val="00674AC9"/>
    <w:rsid w:val="006752B3"/>
    <w:rsid w:val="00675A7F"/>
    <w:rsid w:val="006765C8"/>
    <w:rsid w:val="00676C94"/>
    <w:rsid w:val="00677453"/>
    <w:rsid w:val="006818D0"/>
    <w:rsid w:val="00683251"/>
    <w:rsid w:val="0068399F"/>
    <w:rsid w:val="00684153"/>
    <w:rsid w:val="006841BD"/>
    <w:rsid w:val="00684C00"/>
    <w:rsid w:val="00684E0E"/>
    <w:rsid w:val="006855F7"/>
    <w:rsid w:val="0068649B"/>
    <w:rsid w:val="00686914"/>
    <w:rsid w:val="00686DFC"/>
    <w:rsid w:val="006878C9"/>
    <w:rsid w:val="00687F41"/>
    <w:rsid w:val="0069081C"/>
    <w:rsid w:val="00690FEB"/>
    <w:rsid w:val="0069195D"/>
    <w:rsid w:val="0069491E"/>
    <w:rsid w:val="00694C28"/>
    <w:rsid w:val="006A2C72"/>
    <w:rsid w:val="006A3BEB"/>
    <w:rsid w:val="006A5A38"/>
    <w:rsid w:val="006A5B62"/>
    <w:rsid w:val="006A617A"/>
    <w:rsid w:val="006A6B6B"/>
    <w:rsid w:val="006A70EB"/>
    <w:rsid w:val="006A7D6E"/>
    <w:rsid w:val="006B0337"/>
    <w:rsid w:val="006B0813"/>
    <w:rsid w:val="006B0F61"/>
    <w:rsid w:val="006B13EB"/>
    <w:rsid w:val="006B1527"/>
    <w:rsid w:val="006B1F18"/>
    <w:rsid w:val="006B29B5"/>
    <w:rsid w:val="006B3663"/>
    <w:rsid w:val="006B4E54"/>
    <w:rsid w:val="006B5695"/>
    <w:rsid w:val="006B5C0A"/>
    <w:rsid w:val="006B6D03"/>
    <w:rsid w:val="006B7CD9"/>
    <w:rsid w:val="006C03DB"/>
    <w:rsid w:val="006C1BCE"/>
    <w:rsid w:val="006C1D44"/>
    <w:rsid w:val="006C2251"/>
    <w:rsid w:val="006C2274"/>
    <w:rsid w:val="006C23A3"/>
    <w:rsid w:val="006C23B5"/>
    <w:rsid w:val="006C24CA"/>
    <w:rsid w:val="006C27A1"/>
    <w:rsid w:val="006C27E4"/>
    <w:rsid w:val="006C6662"/>
    <w:rsid w:val="006C674B"/>
    <w:rsid w:val="006C6BB7"/>
    <w:rsid w:val="006C6C86"/>
    <w:rsid w:val="006C76D6"/>
    <w:rsid w:val="006D022A"/>
    <w:rsid w:val="006D1262"/>
    <w:rsid w:val="006D2A0D"/>
    <w:rsid w:val="006D2DDC"/>
    <w:rsid w:val="006D2F21"/>
    <w:rsid w:val="006D3580"/>
    <w:rsid w:val="006D3A6E"/>
    <w:rsid w:val="006D5198"/>
    <w:rsid w:val="006D53F4"/>
    <w:rsid w:val="006D6D0D"/>
    <w:rsid w:val="006D6F59"/>
    <w:rsid w:val="006D7826"/>
    <w:rsid w:val="006D7CBE"/>
    <w:rsid w:val="006E0467"/>
    <w:rsid w:val="006E098A"/>
    <w:rsid w:val="006E0C28"/>
    <w:rsid w:val="006E108B"/>
    <w:rsid w:val="006E3A84"/>
    <w:rsid w:val="006E4BEB"/>
    <w:rsid w:val="006E4C5E"/>
    <w:rsid w:val="006E4DD8"/>
    <w:rsid w:val="006E4FAA"/>
    <w:rsid w:val="006E550E"/>
    <w:rsid w:val="006E664A"/>
    <w:rsid w:val="006E7A0C"/>
    <w:rsid w:val="006F0131"/>
    <w:rsid w:val="006F1656"/>
    <w:rsid w:val="006F2742"/>
    <w:rsid w:val="006F2897"/>
    <w:rsid w:val="006F2C0E"/>
    <w:rsid w:val="006F3BB1"/>
    <w:rsid w:val="006F3C5F"/>
    <w:rsid w:val="006F5086"/>
    <w:rsid w:val="006F656F"/>
    <w:rsid w:val="006F6B74"/>
    <w:rsid w:val="006F73ED"/>
    <w:rsid w:val="006F7879"/>
    <w:rsid w:val="006F7B62"/>
    <w:rsid w:val="00703394"/>
    <w:rsid w:val="00703C11"/>
    <w:rsid w:val="00704436"/>
    <w:rsid w:val="0070533B"/>
    <w:rsid w:val="00706D50"/>
    <w:rsid w:val="007074CF"/>
    <w:rsid w:val="00710C3B"/>
    <w:rsid w:val="007111DD"/>
    <w:rsid w:val="00711720"/>
    <w:rsid w:val="0071183A"/>
    <w:rsid w:val="007129FC"/>
    <w:rsid w:val="00713C43"/>
    <w:rsid w:val="00714871"/>
    <w:rsid w:val="00715278"/>
    <w:rsid w:val="007158DA"/>
    <w:rsid w:val="00716677"/>
    <w:rsid w:val="00716E85"/>
    <w:rsid w:val="00716FF2"/>
    <w:rsid w:val="0071732F"/>
    <w:rsid w:val="00717D1F"/>
    <w:rsid w:val="00720CDF"/>
    <w:rsid w:val="0072232E"/>
    <w:rsid w:val="00722AB9"/>
    <w:rsid w:val="00723815"/>
    <w:rsid w:val="00723C0A"/>
    <w:rsid w:val="00723E5E"/>
    <w:rsid w:val="00725A21"/>
    <w:rsid w:val="00726757"/>
    <w:rsid w:val="00727A36"/>
    <w:rsid w:val="00730469"/>
    <w:rsid w:val="00730C2C"/>
    <w:rsid w:val="007315FA"/>
    <w:rsid w:val="00732187"/>
    <w:rsid w:val="00732AEF"/>
    <w:rsid w:val="0073341C"/>
    <w:rsid w:val="00733510"/>
    <w:rsid w:val="00733635"/>
    <w:rsid w:val="00733D8A"/>
    <w:rsid w:val="007344B2"/>
    <w:rsid w:val="0073454A"/>
    <w:rsid w:val="00734982"/>
    <w:rsid w:val="00734BB3"/>
    <w:rsid w:val="00734C2A"/>
    <w:rsid w:val="00736A3F"/>
    <w:rsid w:val="00736B0C"/>
    <w:rsid w:val="00737A13"/>
    <w:rsid w:val="00737DF9"/>
    <w:rsid w:val="00740D8E"/>
    <w:rsid w:val="007419B4"/>
    <w:rsid w:val="00741F43"/>
    <w:rsid w:val="007429EE"/>
    <w:rsid w:val="00742D92"/>
    <w:rsid w:val="00744542"/>
    <w:rsid w:val="00744BC7"/>
    <w:rsid w:val="00744F8B"/>
    <w:rsid w:val="00747CBF"/>
    <w:rsid w:val="00750EFA"/>
    <w:rsid w:val="007512EE"/>
    <w:rsid w:val="007520E1"/>
    <w:rsid w:val="00752981"/>
    <w:rsid w:val="00752AFD"/>
    <w:rsid w:val="0075310A"/>
    <w:rsid w:val="00753A1B"/>
    <w:rsid w:val="00753F0B"/>
    <w:rsid w:val="007540A9"/>
    <w:rsid w:val="00754E6B"/>
    <w:rsid w:val="00755798"/>
    <w:rsid w:val="00755A51"/>
    <w:rsid w:val="00757993"/>
    <w:rsid w:val="00757B93"/>
    <w:rsid w:val="00757C3B"/>
    <w:rsid w:val="00757D32"/>
    <w:rsid w:val="007607C6"/>
    <w:rsid w:val="0076096E"/>
    <w:rsid w:val="00761399"/>
    <w:rsid w:val="007614D8"/>
    <w:rsid w:val="00763D78"/>
    <w:rsid w:val="00763DCE"/>
    <w:rsid w:val="0076445A"/>
    <w:rsid w:val="00764CA7"/>
    <w:rsid w:val="0076634D"/>
    <w:rsid w:val="0076666A"/>
    <w:rsid w:val="00767885"/>
    <w:rsid w:val="00767924"/>
    <w:rsid w:val="007703C1"/>
    <w:rsid w:val="00771C8D"/>
    <w:rsid w:val="00772FDF"/>
    <w:rsid w:val="00773774"/>
    <w:rsid w:val="007747AD"/>
    <w:rsid w:val="007754FB"/>
    <w:rsid w:val="0077551A"/>
    <w:rsid w:val="00776016"/>
    <w:rsid w:val="007760E3"/>
    <w:rsid w:val="00776109"/>
    <w:rsid w:val="00776A4E"/>
    <w:rsid w:val="007811D0"/>
    <w:rsid w:val="0078138F"/>
    <w:rsid w:val="0078141F"/>
    <w:rsid w:val="007818FD"/>
    <w:rsid w:val="00782D06"/>
    <w:rsid w:val="00783D4A"/>
    <w:rsid w:val="007847EC"/>
    <w:rsid w:val="00785883"/>
    <w:rsid w:val="00786262"/>
    <w:rsid w:val="007862FB"/>
    <w:rsid w:val="00786666"/>
    <w:rsid w:val="00787F5C"/>
    <w:rsid w:val="007905CF"/>
    <w:rsid w:val="00791E00"/>
    <w:rsid w:val="00792986"/>
    <w:rsid w:val="007939FE"/>
    <w:rsid w:val="00793B1E"/>
    <w:rsid w:val="007945F5"/>
    <w:rsid w:val="00795FBB"/>
    <w:rsid w:val="007970EF"/>
    <w:rsid w:val="0079788C"/>
    <w:rsid w:val="007A0147"/>
    <w:rsid w:val="007A1202"/>
    <w:rsid w:val="007A149E"/>
    <w:rsid w:val="007A1888"/>
    <w:rsid w:val="007A2FD2"/>
    <w:rsid w:val="007A5169"/>
    <w:rsid w:val="007A53E4"/>
    <w:rsid w:val="007A5CC1"/>
    <w:rsid w:val="007A5D33"/>
    <w:rsid w:val="007A6B49"/>
    <w:rsid w:val="007A7939"/>
    <w:rsid w:val="007A7CC9"/>
    <w:rsid w:val="007B0FA6"/>
    <w:rsid w:val="007B1B13"/>
    <w:rsid w:val="007B3707"/>
    <w:rsid w:val="007B464A"/>
    <w:rsid w:val="007B4B60"/>
    <w:rsid w:val="007B4C92"/>
    <w:rsid w:val="007B53A3"/>
    <w:rsid w:val="007B5C94"/>
    <w:rsid w:val="007B5D34"/>
    <w:rsid w:val="007B64A6"/>
    <w:rsid w:val="007B670D"/>
    <w:rsid w:val="007B6ACD"/>
    <w:rsid w:val="007B71CF"/>
    <w:rsid w:val="007C08B2"/>
    <w:rsid w:val="007C14BA"/>
    <w:rsid w:val="007C1A61"/>
    <w:rsid w:val="007C235E"/>
    <w:rsid w:val="007C2406"/>
    <w:rsid w:val="007C4F90"/>
    <w:rsid w:val="007C5006"/>
    <w:rsid w:val="007C6A71"/>
    <w:rsid w:val="007C6D8C"/>
    <w:rsid w:val="007C72C3"/>
    <w:rsid w:val="007C7842"/>
    <w:rsid w:val="007D00D7"/>
    <w:rsid w:val="007D0608"/>
    <w:rsid w:val="007D1B3C"/>
    <w:rsid w:val="007D1FA1"/>
    <w:rsid w:val="007D22C0"/>
    <w:rsid w:val="007D2D2D"/>
    <w:rsid w:val="007D3780"/>
    <w:rsid w:val="007D3B37"/>
    <w:rsid w:val="007D40EF"/>
    <w:rsid w:val="007D4E64"/>
    <w:rsid w:val="007D4FCB"/>
    <w:rsid w:val="007D7414"/>
    <w:rsid w:val="007E34BE"/>
    <w:rsid w:val="007E57BF"/>
    <w:rsid w:val="007E749E"/>
    <w:rsid w:val="007E75D4"/>
    <w:rsid w:val="007E7DF5"/>
    <w:rsid w:val="007F0593"/>
    <w:rsid w:val="007F0BB9"/>
    <w:rsid w:val="007F17F8"/>
    <w:rsid w:val="007F1EC2"/>
    <w:rsid w:val="007F3443"/>
    <w:rsid w:val="007F406D"/>
    <w:rsid w:val="007F4382"/>
    <w:rsid w:val="007F4C5F"/>
    <w:rsid w:val="007F52F8"/>
    <w:rsid w:val="007F659C"/>
    <w:rsid w:val="007F6656"/>
    <w:rsid w:val="007F6C32"/>
    <w:rsid w:val="007F7B18"/>
    <w:rsid w:val="007F7C70"/>
    <w:rsid w:val="007F7C88"/>
    <w:rsid w:val="00800784"/>
    <w:rsid w:val="00800C95"/>
    <w:rsid w:val="00801300"/>
    <w:rsid w:val="00801DB2"/>
    <w:rsid w:val="0080288E"/>
    <w:rsid w:val="0080377D"/>
    <w:rsid w:val="008040EE"/>
    <w:rsid w:val="00805152"/>
    <w:rsid w:val="00805730"/>
    <w:rsid w:val="00805E19"/>
    <w:rsid w:val="008062E1"/>
    <w:rsid w:val="00806F6E"/>
    <w:rsid w:val="008107B4"/>
    <w:rsid w:val="00810873"/>
    <w:rsid w:val="008116FE"/>
    <w:rsid w:val="008122DD"/>
    <w:rsid w:val="0081236B"/>
    <w:rsid w:val="00812753"/>
    <w:rsid w:val="00812879"/>
    <w:rsid w:val="00812C7E"/>
    <w:rsid w:val="00813041"/>
    <w:rsid w:val="00813A4A"/>
    <w:rsid w:val="00816E63"/>
    <w:rsid w:val="00820ACF"/>
    <w:rsid w:val="00822036"/>
    <w:rsid w:val="00822C42"/>
    <w:rsid w:val="0082301C"/>
    <w:rsid w:val="008243D4"/>
    <w:rsid w:val="0082575A"/>
    <w:rsid w:val="00825BF0"/>
    <w:rsid w:val="00825C62"/>
    <w:rsid w:val="00826BC3"/>
    <w:rsid w:val="008300B7"/>
    <w:rsid w:val="00830B80"/>
    <w:rsid w:val="00830C14"/>
    <w:rsid w:val="00830E2B"/>
    <w:rsid w:val="00831BB5"/>
    <w:rsid w:val="0083216A"/>
    <w:rsid w:val="008339F4"/>
    <w:rsid w:val="00834B4E"/>
    <w:rsid w:val="00835326"/>
    <w:rsid w:val="008355B8"/>
    <w:rsid w:val="00835D12"/>
    <w:rsid w:val="0083694A"/>
    <w:rsid w:val="00837DA2"/>
    <w:rsid w:val="00840BE4"/>
    <w:rsid w:val="008419C7"/>
    <w:rsid w:val="00842E53"/>
    <w:rsid w:val="00843B44"/>
    <w:rsid w:val="00843CBE"/>
    <w:rsid w:val="00844671"/>
    <w:rsid w:val="008448BD"/>
    <w:rsid w:val="0084513E"/>
    <w:rsid w:val="00845F7C"/>
    <w:rsid w:val="00846C30"/>
    <w:rsid w:val="00847388"/>
    <w:rsid w:val="00851B8B"/>
    <w:rsid w:val="00852EF6"/>
    <w:rsid w:val="00855B17"/>
    <w:rsid w:val="00856F9B"/>
    <w:rsid w:val="008572DC"/>
    <w:rsid w:val="00857BA7"/>
    <w:rsid w:val="00857BC3"/>
    <w:rsid w:val="0086022A"/>
    <w:rsid w:val="00860353"/>
    <w:rsid w:val="00860534"/>
    <w:rsid w:val="00860704"/>
    <w:rsid w:val="00860962"/>
    <w:rsid w:val="00860F57"/>
    <w:rsid w:val="008615D5"/>
    <w:rsid w:val="0086195A"/>
    <w:rsid w:val="00861F0F"/>
    <w:rsid w:val="00862383"/>
    <w:rsid w:val="00862A7C"/>
    <w:rsid w:val="00864702"/>
    <w:rsid w:val="008650DB"/>
    <w:rsid w:val="0086561A"/>
    <w:rsid w:val="00865A5C"/>
    <w:rsid w:val="00865EDC"/>
    <w:rsid w:val="00866E69"/>
    <w:rsid w:val="00867E22"/>
    <w:rsid w:val="00867FA5"/>
    <w:rsid w:val="00870110"/>
    <w:rsid w:val="0087363B"/>
    <w:rsid w:val="00874A0B"/>
    <w:rsid w:val="008751C8"/>
    <w:rsid w:val="00876EA0"/>
    <w:rsid w:val="00876FDF"/>
    <w:rsid w:val="0088010B"/>
    <w:rsid w:val="00880D0F"/>
    <w:rsid w:val="00880E05"/>
    <w:rsid w:val="008821E8"/>
    <w:rsid w:val="0088255D"/>
    <w:rsid w:val="008828AF"/>
    <w:rsid w:val="0088298B"/>
    <w:rsid w:val="0088299A"/>
    <w:rsid w:val="00882FDB"/>
    <w:rsid w:val="00883CF9"/>
    <w:rsid w:val="00885835"/>
    <w:rsid w:val="0088593D"/>
    <w:rsid w:val="00885DF9"/>
    <w:rsid w:val="0088660A"/>
    <w:rsid w:val="00890390"/>
    <w:rsid w:val="008905AB"/>
    <w:rsid w:val="00890A7B"/>
    <w:rsid w:val="008914DE"/>
    <w:rsid w:val="008918BB"/>
    <w:rsid w:val="00891C56"/>
    <w:rsid w:val="00892446"/>
    <w:rsid w:val="008928B6"/>
    <w:rsid w:val="00892FAB"/>
    <w:rsid w:val="00893A8C"/>
    <w:rsid w:val="00893B46"/>
    <w:rsid w:val="00894447"/>
    <w:rsid w:val="00894AC7"/>
    <w:rsid w:val="00894C3B"/>
    <w:rsid w:val="00895A1B"/>
    <w:rsid w:val="00896A02"/>
    <w:rsid w:val="0089715A"/>
    <w:rsid w:val="008A041B"/>
    <w:rsid w:val="008A08F7"/>
    <w:rsid w:val="008A1377"/>
    <w:rsid w:val="008A1F0A"/>
    <w:rsid w:val="008A2386"/>
    <w:rsid w:val="008A25F4"/>
    <w:rsid w:val="008A31E5"/>
    <w:rsid w:val="008A3774"/>
    <w:rsid w:val="008A37C1"/>
    <w:rsid w:val="008A40C2"/>
    <w:rsid w:val="008A4A12"/>
    <w:rsid w:val="008A4BA2"/>
    <w:rsid w:val="008A5256"/>
    <w:rsid w:val="008A5C96"/>
    <w:rsid w:val="008A6766"/>
    <w:rsid w:val="008A7D56"/>
    <w:rsid w:val="008B0697"/>
    <w:rsid w:val="008B0CCD"/>
    <w:rsid w:val="008B0CCF"/>
    <w:rsid w:val="008B1D34"/>
    <w:rsid w:val="008B1E1C"/>
    <w:rsid w:val="008B2587"/>
    <w:rsid w:val="008B27F3"/>
    <w:rsid w:val="008B2ADB"/>
    <w:rsid w:val="008B2C01"/>
    <w:rsid w:val="008B352F"/>
    <w:rsid w:val="008B4A4A"/>
    <w:rsid w:val="008B5903"/>
    <w:rsid w:val="008B6550"/>
    <w:rsid w:val="008B7FFC"/>
    <w:rsid w:val="008C0E9B"/>
    <w:rsid w:val="008C164E"/>
    <w:rsid w:val="008C1AFB"/>
    <w:rsid w:val="008C2245"/>
    <w:rsid w:val="008C320F"/>
    <w:rsid w:val="008C330F"/>
    <w:rsid w:val="008C519B"/>
    <w:rsid w:val="008C531A"/>
    <w:rsid w:val="008C531E"/>
    <w:rsid w:val="008C5655"/>
    <w:rsid w:val="008C6BDE"/>
    <w:rsid w:val="008C726A"/>
    <w:rsid w:val="008C795C"/>
    <w:rsid w:val="008C7D3F"/>
    <w:rsid w:val="008C7EEB"/>
    <w:rsid w:val="008C7FE1"/>
    <w:rsid w:val="008D00B2"/>
    <w:rsid w:val="008D0A4D"/>
    <w:rsid w:val="008D127F"/>
    <w:rsid w:val="008D34F1"/>
    <w:rsid w:val="008D3F95"/>
    <w:rsid w:val="008D5384"/>
    <w:rsid w:val="008D53D3"/>
    <w:rsid w:val="008D5D6B"/>
    <w:rsid w:val="008D6C47"/>
    <w:rsid w:val="008D726C"/>
    <w:rsid w:val="008D728B"/>
    <w:rsid w:val="008D73C4"/>
    <w:rsid w:val="008D7E85"/>
    <w:rsid w:val="008E092F"/>
    <w:rsid w:val="008E16E8"/>
    <w:rsid w:val="008E1CEB"/>
    <w:rsid w:val="008E2315"/>
    <w:rsid w:val="008E354E"/>
    <w:rsid w:val="008E3751"/>
    <w:rsid w:val="008E482D"/>
    <w:rsid w:val="008E4CF8"/>
    <w:rsid w:val="008E57C6"/>
    <w:rsid w:val="008E5E6B"/>
    <w:rsid w:val="008E63FF"/>
    <w:rsid w:val="008E7531"/>
    <w:rsid w:val="008E7A39"/>
    <w:rsid w:val="008F0CB2"/>
    <w:rsid w:val="008F17CF"/>
    <w:rsid w:val="008F1A01"/>
    <w:rsid w:val="008F2C4B"/>
    <w:rsid w:val="008F2CD5"/>
    <w:rsid w:val="008F3940"/>
    <w:rsid w:val="008F396D"/>
    <w:rsid w:val="008F4281"/>
    <w:rsid w:val="008F4390"/>
    <w:rsid w:val="008F444B"/>
    <w:rsid w:val="008F44A1"/>
    <w:rsid w:val="008F4909"/>
    <w:rsid w:val="008F5E7D"/>
    <w:rsid w:val="008F5EDE"/>
    <w:rsid w:val="008F73A8"/>
    <w:rsid w:val="008F7851"/>
    <w:rsid w:val="008F7B73"/>
    <w:rsid w:val="0090018F"/>
    <w:rsid w:val="00900848"/>
    <w:rsid w:val="00901A18"/>
    <w:rsid w:val="00902B39"/>
    <w:rsid w:val="0090438B"/>
    <w:rsid w:val="009046DF"/>
    <w:rsid w:val="00904FC0"/>
    <w:rsid w:val="00905B8A"/>
    <w:rsid w:val="009063E9"/>
    <w:rsid w:val="009064B2"/>
    <w:rsid w:val="0090664F"/>
    <w:rsid w:val="00906849"/>
    <w:rsid w:val="009068B1"/>
    <w:rsid w:val="00907083"/>
    <w:rsid w:val="00907AB3"/>
    <w:rsid w:val="00910E73"/>
    <w:rsid w:val="00911C5C"/>
    <w:rsid w:val="00911F81"/>
    <w:rsid w:val="00913732"/>
    <w:rsid w:val="0091498E"/>
    <w:rsid w:val="00914B8C"/>
    <w:rsid w:val="00914B90"/>
    <w:rsid w:val="00914F41"/>
    <w:rsid w:val="00914F9B"/>
    <w:rsid w:val="00915266"/>
    <w:rsid w:val="0091588E"/>
    <w:rsid w:val="009161B4"/>
    <w:rsid w:val="00916FC9"/>
    <w:rsid w:val="00917585"/>
    <w:rsid w:val="009177A0"/>
    <w:rsid w:val="00917C15"/>
    <w:rsid w:val="00917D7B"/>
    <w:rsid w:val="00917EEE"/>
    <w:rsid w:val="00920002"/>
    <w:rsid w:val="0092018E"/>
    <w:rsid w:val="009205AD"/>
    <w:rsid w:val="00920AA2"/>
    <w:rsid w:val="00922863"/>
    <w:rsid w:val="00922F2E"/>
    <w:rsid w:val="009257C1"/>
    <w:rsid w:val="0092738C"/>
    <w:rsid w:val="00927FF7"/>
    <w:rsid w:val="00930584"/>
    <w:rsid w:val="00930A31"/>
    <w:rsid w:val="00932187"/>
    <w:rsid w:val="00932265"/>
    <w:rsid w:val="009322E4"/>
    <w:rsid w:val="009322F8"/>
    <w:rsid w:val="00932858"/>
    <w:rsid w:val="0093299C"/>
    <w:rsid w:val="00932BE3"/>
    <w:rsid w:val="00933223"/>
    <w:rsid w:val="0093343C"/>
    <w:rsid w:val="00933535"/>
    <w:rsid w:val="00933DFE"/>
    <w:rsid w:val="0093460B"/>
    <w:rsid w:val="00935620"/>
    <w:rsid w:val="00936AB5"/>
    <w:rsid w:val="00936C30"/>
    <w:rsid w:val="00937A4E"/>
    <w:rsid w:val="00942128"/>
    <w:rsid w:val="00942BDF"/>
    <w:rsid w:val="00942C43"/>
    <w:rsid w:val="00943B22"/>
    <w:rsid w:val="0094463C"/>
    <w:rsid w:val="00945DC0"/>
    <w:rsid w:val="00945F80"/>
    <w:rsid w:val="00947CB9"/>
    <w:rsid w:val="00947E79"/>
    <w:rsid w:val="0095033C"/>
    <w:rsid w:val="00950BB4"/>
    <w:rsid w:val="00950EFC"/>
    <w:rsid w:val="009524F1"/>
    <w:rsid w:val="00952B26"/>
    <w:rsid w:val="0095382D"/>
    <w:rsid w:val="009546A2"/>
    <w:rsid w:val="00955A2B"/>
    <w:rsid w:val="00955FD5"/>
    <w:rsid w:val="009579A0"/>
    <w:rsid w:val="009605F3"/>
    <w:rsid w:val="00960925"/>
    <w:rsid w:val="009620BD"/>
    <w:rsid w:val="009626F4"/>
    <w:rsid w:val="00962EA7"/>
    <w:rsid w:val="00963405"/>
    <w:rsid w:val="00963603"/>
    <w:rsid w:val="00964B31"/>
    <w:rsid w:val="00964F33"/>
    <w:rsid w:val="0096538F"/>
    <w:rsid w:val="0096637E"/>
    <w:rsid w:val="00966FC3"/>
    <w:rsid w:val="00967188"/>
    <w:rsid w:val="00967CCD"/>
    <w:rsid w:val="009700CE"/>
    <w:rsid w:val="00970B3E"/>
    <w:rsid w:val="00970DB8"/>
    <w:rsid w:val="00971998"/>
    <w:rsid w:val="00971B17"/>
    <w:rsid w:val="009722B4"/>
    <w:rsid w:val="00972400"/>
    <w:rsid w:val="00973789"/>
    <w:rsid w:val="009740C1"/>
    <w:rsid w:val="009745ED"/>
    <w:rsid w:val="00974B0D"/>
    <w:rsid w:val="00974C95"/>
    <w:rsid w:val="0097695E"/>
    <w:rsid w:val="00977D7C"/>
    <w:rsid w:val="00980394"/>
    <w:rsid w:val="00981F04"/>
    <w:rsid w:val="00981FB4"/>
    <w:rsid w:val="00982493"/>
    <w:rsid w:val="00982B51"/>
    <w:rsid w:val="009830E7"/>
    <w:rsid w:val="00983718"/>
    <w:rsid w:val="00983CC7"/>
    <w:rsid w:val="009840BE"/>
    <w:rsid w:val="0098423B"/>
    <w:rsid w:val="009845FB"/>
    <w:rsid w:val="00985ACA"/>
    <w:rsid w:val="00986AB4"/>
    <w:rsid w:val="00986F8F"/>
    <w:rsid w:val="00987787"/>
    <w:rsid w:val="00987D2A"/>
    <w:rsid w:val="00987D86"/>
    <w:rsid w:val="00990938"/>
    <w:rsid w:val="00990D31"/>
    <w:rsid w:val="00990D55"/>
    <w:rsid w:val="00990F0C"/>
    <w:rsid w:val="00992089"/>
    <w:rsid w:val="00992416"/>
    <w:rsid w:val="00993A9D"/>
    <w:rsid w:val="00993B2A"/>
    <w:rsid w:val="00994F11"/>
    <w:rsid w:val="00995167"/>
    <w:rsid w:val="00995AD5"/>
    <w:rsid w:val="00995EF6"/>
    <w:rsid w:val="009974CB"/>
    <w:rsid w:val="00997CAA"/>
    <w:rsid w:val="00997D1C"/>
    <w:rsid w:val="009A0B50"/>
    <w:rsid w:val="009A0F99"/>
    <w:rsid w:val="009A1CC4"/>
    <w:rsid w:val="009A2035"/>
    <w:rsid w:val="009A22F6"/>
    <w:rsid w:val="009A2518"/>
    <w:rsid w:val="009A2D45"/>
    <w:rsid w:val="009A3C60"/>
    <w:rsid w:val="009A3F85"/>
    <w:rsid w:val="009A3FC7"/>
    <w:rsid w:val="009A443F"/>
    <w:rsid w:val="009A50A0"/>
    <w:rsid w:val="009A5EC2"/>
    <w:rsid w:val="009A6AFD"/>
    <w:rsid w:val="009A7490"/>
    <w:rsid w:val="009B03BA"/>
    <w:rsid w:val="009B03F4"/>
    <w:rsid w:val="009B0679"/>
    <w:rsid w:val="009B120F"/>
    <w:rsid w:val="009B19FA"/>
    <w:rsid w:val="009B2295"/>
    <w:rsid w:val="009B2418"/>
    <w:rsid w:val="009B24D9"/>
    <w:rsid w:val="009B3521"/>
    <w:rsid w:val="009B36AC"/>
    <w:rsid w:val="009B39C2"/>
    <w:rsid w:val="009B3AEA"/>
    <w:rsid w:val="009B507D"/>
    <w:rsid w:val="009B5DD2"/>
    <w:rsid w:val="009B6D95"/>
    <w:rsid w:val="009C0F64"/>
    <w:rsid w:val="009C3A5C"/>
    <w:rsid w:val="009C3AFA"/>
    <w:rsid w:val="009C3D01"/>
    <w:rsid w:val="009C4526"/>
    <w:rsid w:val="009C579E"/>
    <w:rsid w:val="009D0124"/>
    <w:rsid w:val="009D08DC"/>
    <w:rsid w:val="009D184B"/>
    <w:rsid w:val="009D25D1"/>
    <w:rsid w:val="009D4ABE"/>
    <w:rsid w:val="009D6912"/>
    <w:rsid w:val="009D6B53"/>
    <w:rsid w:val="009D78FB"/>
    <w:rsid w:val="009E0587"/>
    <w:rsid w:val="009E141D"/>
    <w:rsid w:val="009E277C"/>
    <w:rsid w:val="009E2E02"/>
    <w:rsid w:val="009E3068"/>
    <w:rsid w:val="009E427D"/>
    <w:rsid w:val="009E5310"/>
    <w:rsid w:val="009E6760"/>
    <w:rsid w:val="009E6C9F"/>
    <w:rsid w:val="009E6EB0"/>
    <w:rsid w:val="009E7C15"/>
    <w:rsid w:val="009E7FC6"/>
    <w:rsid w:val="009F00F7"/>
    <w:rsid w:val="009F1C8C"/>
    <w:rsid w:val="009F244B"/>
    <w:rsid w:val="009F3AFC"/>
    <w:rsid w:val="009F3DB2"/>
    <w:rsid w:val="009F3E17"/>
    <w:rsid w:val="009F4A02"/>
    <w:rsid w:val="009F4E70"/>
    <w:rsid w:val="009F5C4B"/>
    <w:rsid w:val="009F6714"/>
    <w:rsid w:val="009F6D82"/>
    <w:rsid w:val="009F7970"/>
    <w:rsid w:val="00A00265"/>
    <w:rsid w:val="00A003D0"/>
    <w:rsid w:val="00A0148B"/>
    <w:rsid w:val="00A02E43"/>
    <w:rsid w:val="00A06BE3"/>
    <w:rsid w:val="00A06E45"/>
    <w:rsid w:val="00A06F85"/>
    <w:rsid w:val="00A07D11"/>
    <w:rsid w:val="00A07D1E"/>
    <w:rsid w:val="00A07E2B"/>
    <w:rsid w:val="00A10831"/>
    <w:rsid w:val="00A109A2"/>
    <w:rsid w:val="00A1369E"/>
    <w:rsid w:val="00A16379"/>
    <w:rsid w:val="00A20356"/>
    <w:rsid w:val="00A20364"/>
    <w:rsid w:val="00A203D1"/>
    <w:rsid w:val="00A20A2E"/>
    <w:rsid w:val="00A26087"/>
    <w:rsid w:val="00A2623E"/>
    <w:rsid w:val="00A26600"/>
    <w:rsid w:val="00A27019"/>
    <w:rsid w:val="00A27861"/>
    <w:rsid w:val="00A303B6"/>
    <w:rsid w:val="00A30735"/>
    <w:rsid w:val="00A30D84"/>
    <w:rsid w:val="00A313FE"/>
    <w:rsid w:val="00A31D19"/>
    <w:rsid w:val="00A31E84"/>
    <w:rsid w:val="00A328BA"/>
    <w:rsid w:val="00A33B48"/>
    <w:rsid w:val="00A3417D"/>
    <w:rsid w:val="00A3474B"/>
    <w:rsid w:val="00A350DF"/>
    <w:rsid w:val="00A35980"/>
    <w:rsid w:val="00A3710D"/>
    <w:rsid w:val="00A37612"/>
    <w:rsid w:val="00A402A3"/>
    <w:rsid w:val="00A40A0B"/>
    <w:rsid w:val="00A40AD7"/>
    <w:rsid w:val="00A40E69"/>
    <w:rsid w:val="00A4179C"/>
    <w:rsid w:val="00A42251"/>
    <w:rsid w:val="00A4277D"/>
    <w:rsid w:val="00A436F6"/>
    <w:rsid w:val="00A43D92"/>
    <w:rsid w:val="00A44E47"/>
    <w:rsid w:val="00A45379"/>
    <w:rsid w:val="00A45EA7"/>
    <w:rsid w:val="00A469F6"/>
    <w:rsid w:val="00A47F6F"/>
    <w:rsid w:val="00A509F7"/>
    <w:rsid w:val="00A51067"/>
    <w:rsid w:val="00A51675"/>
    <w:rsid w:val="00A52611"/>
    <w:rsid w:val="00A528EA"/>
    <w:rsid w:val="00A52D7B"/>
    <w:rsid w:val="00A5396B"/>
    <w:rsid w:val="00A54074"/>
    <w:rsid w:val="00A55AAB"/>
    <w:rsid w:val="00A56DE8"/>
    <w:rsid w:val="00A56F10"/>
    <w:rsid w:val="00A5784D"/>
    <w:rsid w:val="00A61C13"/>
    <w:rsid w:val="00A61E6E"/>
    <w:rsid w:val="00A62631"/>
    <w:rsid w:val="00A6307D"/>
    <w:rsid w:val="00A63A28"/>
    <w:rsid w:val="00A63BCD"/>
    <w:rsid w:val="00A63BF9"/>
    <w:rsid w:val="00A64A2C"/>
    <w:rsid w:val="00A64A52"/>
    <w:rsid w:val="00A64CFF"/>
    <w:rsid w:val="00A6668B"/>
    <w:rsid w:val="00A6704F"/>
    <w:rsid w:val="00A677F1"/>
    <w:rsid w:val="00A67AD2"/>
    <w:rsid w:val="00A701C7"/>
    <w:rsid w:val="00A70566"/>
    <w:rsid w:val="00A70C71"/>
    <w:rsid w:val="00A7121B"/>
    <w:rsid w:val="00A7122A"/>
    <w:rsid w:val="00A732BE"/>
    <w:rsid w:val="00A734AC"/>
    <w:rsid w:val="00A7350C"/>
    <w:rsid w:val="00A73FE0"/>
    <w:rsid w:val="00A75005"/>
    <w:rsid w:val="00A773D1"/>
    <w:rsid w:val="00A80633"/>
    <w:rsid w:val="00A8111E"/>
    <w:rsid w:val="00A813F6"/>
    <w:rsid w:val="00A8190D"/>
    <w:rsid w:val="00A824ED"/>
    <w:rsid w:val="00A834B2"/>
    <w:rsid w:val="00A849CD"/>
    <w:rsid w:val="00A84AC5"/>
    <w:rsid w:val="00A85785"/>
    <w:rsid w:val="00A85827"/>
    <w:rsid w:val="00A85B21"/>
    <w:rsid w:val="00A85F83"/>
    <w:rsid w:val="00A86DBA"/>
    <w:rsid w:val="00A86E6C"/>
    <w:rsid w:val="00A903BE"/>
    <w:rsid w:val="00A90C28"/>
    <w:rsid w:val="00A9130F"/>
    <w:rsid w:val="00A914A0"/>
    <w:rsid w:val="00A91D6B"/>
    <w:rsid w:val="00A91D95"/>
    <w:rsid w:val="00A92075"/>
    <w:rsid w:val="00A92CF5"/>
    <w:rsid w:val="00A93A8E"/>
    <w:rsid w:val="00A93C53"/>
    <w:rsid w:val="00A93F2A"/>
    <w:rsid w:val="00A94526"/>
    <w:rsid w:val="00A948E4"/>
    <w:rsid w:val="00A94987"/>
    <w:rsid w:val="00A9511F"/>
    <w:rsid w:val="00A97593"/>
    <w:rsid w:val="00A97A7A"/>
    <w:rsid w:val="00A97CD2"/>
    <w:rsid w:val="00AA04A1"/>
    <w:rsid w:val="00AA04C7"/>
    <w:rsid w:val="00AA2761"/>
    <w:rsid w:val="00AA2D90"/>
    <w:rsid w:val="00AA2DDC"/>
    <w:rsid w:val="00AA335A"/>
    <w:rsid w:val="00AA35FE"/>
    <w:rsid w:val="00AA361D"/>
    <w:rsid w:val="00AA37BC"/>
    <w:rsid w:val="00AA453B"/>
    <w:rsid w:val="00AA4A90"/>
    <w:rsid w:val="00AA576A"/>
    <w:rsid w:val="00AB01C2"/>
    <w:rsid w:val="00AB0859"/>
    <w:rsid w:val="00AB150C"/>
    <w:rsid w:val="00AB29F3"/>
    <w:rsid w:val="00AB2C99"/>
    <w:rsid w:val="00AB5941"/>
    <w:rsid w:val="00AB6CC9"/>
    <w:rsid w:val="00AC0721"/>
    <w:rsid w:val="00AC07D5"/>
    <w:rsid w:val="00AC0E26"/>
    <w:rsid w:val="00AC1AE9"/>
    <w:rsid w:val="00AC2654"/>
    <w:rsid w:val="00AC2AA7"/>
    <w:rsid w:val="00AC3BF4"/>
    <w:rsid w:val="00AC5135"/>
    <w:rsid w:val="00AC57BF"/>
    <w:rsid w:val="00AD0111"/>
    <w:rsid w:val="00AD279B"/>
    <w:rsid w:val="00AD3015"/>
    <w:rsid w:val="00AD3799"/>
    <w:rsid w:val="00AD3F53"/>
    <w:rsid w:val="00AD470D"/>
    <w:rsid w:val="00AD5446"/>
    <w:rsid w:val="00AD5F9B"/>
    <w:rsid w:val="00AD63C0"/>
    <w:rsid w:val="00AE1244"/>
    <w:rsid w:val="00AE1B4D"/>
    <w:rsid w:val="00AE1E43"/>
    <w:rsid w:val="00AE3031"/>
    <w:rsid w:val="00AE328F"/>
    <w:rsid w:val="00AE3636"/>
    <w:rsid w:val="00AE55CB"/>
    <w:rsid w:val="00AE7CE6"/>
    <w:rsid w:val="00AF0DC6"/>
    <w:rsid w:val="00AF0E2F"/>
    <w:rsid w:val="00AF12CB"/>
    <w:rsid w:val="00AF1A3F"/>
    <w:rsid w:val="00AF2125"/>
    <w:rsid w:val="00AF2D3F"/>
    <w:rsid w:val="00AF3650"/>
    <w:rsid w:val="00AF4908"/>
    <w:rsid w:val="00AF498A"/>
    <w:rsid w:val="00AF4B06"/>
    <w:rsid w:val="00AF4E02"/>
    <w:rsid w:val="00AF4E42"/>
    <w:rsid w:val="00AF51E8"/>
    <w:rsid w:val="00AF5520"/>
    <w:rsid w:val="00AF55C9"/>
    <w:rsid w:val="00AF5CB7"/>
    <w:rsid w:val="00AF6F80"/>
    <w:rsid w:val="00AF7E0F"/>
    <w:rsid w:val="00B0017E"/>
    <w:rsid w:val="00B004B3"/>
    <w:rsid w:val="00B02EEE"/>
    <w:rsid w:val="00B05BCF"/>
    <w:rsid w:val="00B06083"/>
    <w:rsid w:val="00B061A0"/>
    <w:rsid w:val="00B06B75"/>
    <w:rsid w:val="00B10937"/>
    <w:rsid w:val="00B10B92"/>
    <w:rsid w:val="00B1155C"/>
    <w:rsid w:val="00B12199"/>
    <w:rsid w:val="00B1265F"/>
    <w:rsid w:val="00B129EA"/>
    <w:rsid w:val="00B144F0"/>
    <w:rsid w:val="00B14829"/>
    <w:rsid w:val="00B14BE5"/>
    <w:rsid w:val="00B15BC6"/>
    <w:rsid w:val="00B16D52"/>
    <w:rsid w:val="00B16E34"/>
    <w:rsid w:val="00B16E63"/>
    <w:rsid w:val="00B17180"/>
    <w:rsid w:val="00B172D2"/>
    <w:rsid w:val="00B176BD"/>
    <w:rsid w:val="00B17B03"/>
    <w:rsid w:val="00B20461"/>
    <w:rsid w:val="00B209F9"/>
    <w:rsid w:val="00B2143B"/>
    <w:rsid w:val="00B217C4"/>
    <w:rsid w:val="00B21900"/>
    <w:rsid w:val="00B2195B"/>
    <w:rsid w:val="00B21F16"/>
    <w:rsid w:val="00B22096"/>
    <w:rsid w:val="00B22AA7"/>
    <w:rsid w:val="00B23331"/>
    <w:rsid w:val="00B23D82"/>
    <w:rsid w:val="00B24964"/>
    <w:rsid w:val="00B2523E"/>
    <w:rsid w:val="00B25426"/>
    <w:rsid w:val="00B2575B"/>
    <w:rsid w:val="00B258BD"/>
    <w:rsid w:val="00B27580"/>
    <w:rsid w:val="00B30D74"/>
    <w:rsid w:val="00B30EAB"/>
    <w:rsid w:val="00B31AD4"/>
    <w:rsid w:val="00B329D6"/>
    <w:rsid w:val="00B350C5"/>
    <w:rsid w:val="00B351D8"/>
    <w:rsid w:val="00B35AAB"/>
    <w:rsid w:val="00B369DA"/>
    <w:rsid w:val="00B36E63"/>
    <w:rsid w:val="00B37039"/>
    <w:rsid w:val="00B37363"/>
    <w:rsid w:val="00B40835"/>
    <w:rsid w:val="00B40A82"/>
    <w:rsid w:val="00B40E7E"/>
    <w:rsid w:val="00B41F2A"/>
    <w:rsid w:val="00B426D3"/>
    <w:rsid w:val="00B43775"/>
    <w:rsid w:val="00B4485F"/>
    <w:rsid w:val="00B44B9D"/>
    <w:rsid w:val="00B44E78"/>
    <w:rsid w:val="00B4596D"/>
    <w:rsid w:val="00B45B0B"/>
    <w:rsid w:val="00B45C17"/>
    <w:rsid w:val="00B45CE3"/>
    <w:rsid w:val="00B46179"/>
    <w:rsid w:val="00B464EE"/>
    <w:rsid w:val="00B468EB"/>
    <w:rsid w:val="00B46E60"/>
    <w:rsid w:val="00B479D7"/>
    <w:rsid w:val="00B47D20"/>
    <w:rsid w:val="00B512FF"/>
    <w:rsid w:val="00B51336"/>
    <w:rsid w:val="00B51755"/>
    <w:rsid w:val="00B520ED"/>
    <w:rsid w:val="00B529D2"/>
    <w:rsid w:val="00B53906"/>
    <w:rsid w:val="00B5437F"/>
    <w:rsid w:val="00B545C2"/>
    <w:rsid w:val="00B547DF"/>
    <w:rsid w:val="00B54A14"/>
    <w:rsid w:val="00B554BD"/>
    <w:rsid w:val="00B55753"/>
    <w:rsid w:val="00B559D6"/>
    <w:rsid w:val="00B55EED"/>
    <w:rsid w:val="00B55FF6"/>
    <w:rsid w:val="00B5649E"/>
    <w:rsid w:val="00B57F41"/>
    <w:rsid w:val="00B60936"/>
    <w:rsid w:val="00B61149"/>
    <w:rsid w:val="00B61AB6"/>
    <w:rsid w:val="00B62BFD"/>
    <w:rsid w:val="00B63379"/>
    <w:rsid w:val="00B63B11"/>
    <w:rsid w:val="00B65105"/>
    <w:rsid w:val="00B655BA"/>
    <w:rsid w:val="00B664A9"/>
    <w:rsid w:val="00B66AD8"/>
    <w:rsid w:val="00B70B80"/>
    <w:rsid w:val="00B71C87"/>
    <w:rsid w:val="00B7206C"/>
    <w:rsid w:val="00B72F55"/>
    <w:rsid w:val="00B738F6"/>
    <w:rsid w:val="00B740E1"/>
    <w:rsid w:val="00B74B41"/>
    <w:rsid w:val="00B76C93"/>
    <w:rsid w:val="00B76CE9"/>
    <w:rsid w:val="00B7733A"/>
    <w:rsid w:val="00B779FE"/>
    <w:rsid w:val="00B80755"/>
    <w:rsid w:val="00B8094C"/>
    <w:rsid w:val="00B817B2"/>
    <w:rsid w:val="00B81D12"/>
    <w:rsid w:val="00B81E6A"/>
    <w:rsid w:val="00B82EF8"/>
    <w:rsid w:val="00B84176"/>
    <w:rsid w:val="00B8504E"/>
    <w:rsid w:val="00B85503"/>
    <w:rsid w:val="00B857E7"/>
    <w:rsid w:val="00B86EC0"/>
    <w:rsid w:val="00B87834"/>
    <w:rsid w:val="00B900CF"/>
    <w:rsid w:val="00B90154"/>
    <w:rsid w:val="00B9054F"/>
    <w:rsid w:val="00B91781"/>
    <w:rsid w:val="00B923E2"/>
    <w:rsid w:val="00B93044"/>
    <w:rsid w:val="00B93802"/>
    <w:rsid w:val="00B941A5"/>
    <w:rsid w:val="00B9590A"/>
    <w:rsid w:val="00B961F4"/>
    <w:rsid w:val="00B96324"/>
    <w:rsid w:val="00B970A1"/>
    <w:rsid w:val="00B97194"/>
    <w:rsid w:val="00B97BD3"/>
    <w:rsid w:val="00B97DA5"/>
    <w:rsid w:val="00BA0429"/>
    <w:rsid w:val="00BA0DC5"/>
    <w:rsid w:val="00BA5C33"/>
    <w:rsid w:val="00BA6C00"/>
    <w:rsid w:val="00BA6DED"/>
    <w:rsid w:val="00BA6EF8"/>
    <w:rsid w:val="00BA78CA"/>
    <w:rsid w:val="00BA7C1D"/>
    <w:rsid w:val="00BA7CF4"/>
    <w:rsid w:val="00BB14DE"/>
    <w:rsid w:val="00BB1AF0"/>
    <w:rsid w:val="00BB31BD"/>
    <w:rsid w:val="00BB338B"/>
    <w:rsid w:val="00BB40B7"/>
    <w:rsid w:val="00BB4A9B"/>
    <w:rsid w:val="00BB6169"/>
    <w:rsid w:val="00BB6361"/>
    <w:rsid w:val="00BB71CA"/>
    <w:rsid w:val="00BB7BE5"/>
    <w:rsid w:val="00BC1AF4"/>
    <w:rsid w:val="00BC2349"/>
    <w:rsid w:val="00BC300B"/>
    <w:rsid w:val="00BC5DF7"/>
    <w:rsid w:val="00BC6ABA"/>
    <w:rsid w:val="00BC761A"/>
    <w:rsid w:val="00BC78C6"/>
    <w:rsid w:val="00BD0642"/>
    <w:rsid w:val="00BD094F"/>
    <w:rsid w:val="00BD0F46"/>
    <w:rsid w:val="00BD181A"/>
    <w:rsid w:val="00BD2007"/>
    <w:rsid w:val="00BD2A88"/>
    <w:rsid w:val="00BD2C6B"/>
    <w:rsid w:val="00BD3DC8"/>
    <w:rsid w:val="00BD40A3"/>
    <w:rsid w:val="00BD5014"/>
    <w:rsid w:val="00BD712E"/>
    <w:rsid w:val="00BD7303"/>
    <w:rsid w:val="00BD7EA3"/>
    <w:rsid w:val="00BE08EE"/>
    <w:rsid w:val="00BE0DCF"/>
    <w:rsid w:val="00BE10C9"/>
    <w:rsid w:val="00BE1B60"/>
    <w:rsid w:val="00BE1E51"/>
    <w:rsid w:val="00BE265F"/>
    <w:rsid w:val="00BE3172"/>
    <w:rsid w:val="00BE3707"/>
    <w:rsid w:val="00BE6133"/>
    <w:rsid w:val="00BE633A"/>
    <w:rsid w:val="00BE7D56"/>
    <w:rsid w:val="00BE7E76"/>
    <w:rsid w:val="00BE7F0A"/>
    <w:rsid w:val="00BF01C9"/>
    <w:rsid w:val="00BF039C"/>
    <w:rsid w:val="00BF05C6"/>
    <w:rsid w:val="00BF0975"/>
    <w:rsid w:val="00BF0FBA"/>
    <w:rsid w:val="00BF11DD"/>
    <w:rsid w:val="00BF153B"/>
    <w:rsid w:val="00BF385F"/>
    <w:rsid w:val="00BF5AAF"/>
    <w:rsid w:val="00BF5DA0"/>
    <w:rsid w:val="00BF5F83"/>
    <w:rsid w:val="00BF5F93"/>
    <w:rsid w:val="00BF72EC"/>
    <w:rsid w:val="00C01368"/>
    <w:rsid w:val="00C02671"/>
    <w:rsid w:val="00C02782"/>
    <w:rsid w:val="00C027E4"/>
    <w:rsid w:val="00C02C2F"/>
    <w:rsid w:val="00C02F0A"/>
    <w:rsid w:val="00C038E0"/>
    <w:rsid w:val="00C03A20"/>
    <w:rsid w:val="00C05428"/>
    <w:rsid w:val="00C05F88"/>
    <w:rsid w:val="00C070D3"/>
    <w:rsid w:val="00C0724F"/>
    <w:rsid w:val="00C11A1C"/>
    <w:rsid w:val="00C12803"/>
    <w:rsid w:val="00C139B9"/>
    <w:rsid w:val="00C13E05"/>
    <w:rsid w:val="00C14010"/>
    <w:rsid w:val="00C14521"/>
    <w:rsid w:val="00C159F5"/>
    <w:rsid w:val="00C15DDD"/>
    <w:rsid w:val="00C15E5D"/>
    <w:rsid w:val="00C16206"/>
    <w:rsid w:val="00C16D1A"/>
    <w:rsid w:val="00C170FD"/>
    <w:rsid w:val="00C17717"/>
    <w:rsid w:val="00C20C8E"/>
    <w:rsid w:val="00C2121E"/>
    <w:rsid w:val="00C2171B"/>
    <w:rsid w:val="00C21F22"/>
    <w:rsid w:val="00C22135"/>
    <w:rsid w:val="00C223BA"/>
    <w:rsid w:val="00C22D26"/>
    <w:rsid w:val="00C23575"/>
    <w:rsid w:val="00C238BB"/>
    <w:rsid w:val="00C249F4"/>
    <w:rsid w:val="00C25736"/>
    <w:rsid w:val="00C25A11"/>
    <w:rsid w:val="00C25CCD"/>
    <w:rsid w:val="00C260AA"/>
    <w:rsid w:val="00C26311"/>
    <w:rsid w:val="00C2756E"/>
    <w:rsid w:val="00C312EB"/>
    <w:rsid w:val="00C31D9F"/>
    <w:rsid w:val="00C32121"/>
    <w:rsid w:val="00C32B15"/>
    <w:rsid w:val="00C33B56"/>
    <w:rsid w:val="00C33D1A"/>
    <w:rsid w:val="00C33F88"/>
    <w:rsid w:val="00C3413C"/>
    <w:rsid w:val="00C34822"/>
    <w:rsid w:val="00C34D5B"/>
    <w:rsid w:val="00C3652D"/>
    <w:rsid w:val="00C366D2"/>
    <w:rsid w:val="00C368C6"/>
    <w:rsid w:val="00C36A59"/>
    <w:rsid w:val="00C37043"/>
    <w:rsid w:val="00C3765D"/>
    <w:rsid w:val="00C379FF"/>
    <w:rsid w:val="00C37B0E"/>
    <w:rsid w:val="00C37C5E"/>
    <w:rsid w:val="00C408BE"/>
    <w:rsid w:val="00C40CC4"/>
    <w:rsid w:val="00C416B5"/>
    <w:rsid w:val="00C42091"/>
    <w:rsid w:val="00C43040"/>
    <w:rsid w:val="00C44682"/>
    <w:rsid w:val="00C44AC0"/>
    <w:rsid w:val="00C44AC4"/>
    <w:rsid w:val="00C44E7C"/>
    <w:rsid w:val="00C460EA"/>
    <w:rsid w:val="00C46837"/>
    <w:rsid w:val="00C50E65"/>
    <w:rsid w:val="00C521E4"/>
    <w:rsid w:val="00C532D2"/>
    <w:rsid w:val="00C538D3"/>
    <w:rsid w:val="00C53BE7"/>
    <w:rsid w:val="00C54598"/>
    <w:rsid w:val="00C550DF"/>
    <w:rsid w:val="00C55492"/>
    <w:rsid w:val="00C56938"/>
    <w:rsid w:val="00C56F7A"/>
    <w:rsid w:val="00C5728B"/>
    <w:rsid w:val="00C579FE"/>
    <w:rsid w:val="00C60254"/>
    <w:rsid w:val="00C62F01"/>
    <w:rsid w:val="00C6320F"/>
    <w:rsid w:val="00C64036"/>
    <w:rsid w:val="00C641DB"/>
    <w:rsid w:val="00C65488"/>
    <w:rsid w:val="00C66DF0"/>
    <w:rsid w:val="00C67468"/>
    <w:rsid w:val="00C70DE2"/>
    <w:rsid w:val="00C70EFB"/>
    <w:rsid w:val="00C70F97"/>
    <w:rsid w:val="00C72C47"/>
    <w:rsid w:val="00C73BA8"/>
    <w:rsid w:val="00C748BB"/>
    <w:rsid w:val="00C751BA"/>
    <w:rsid w:val="00C75A0E"/>
    <w:rsid w:val="00C76823"/>
    <w:rsid w:val="00C76ABF"/>
    <w:rsid w:val="00C76B32"/>
    <w:rsid w:val="00C77A18"/>
    <w:rsid w:val="00C80D8F"/>
    <w:rsid w:val="00C82EBB"/>
    <w:rsid w:val="00C84855"/>
    <w:rsid w:val="00C84B3C"/>
    <w:rsid w:val="00C85594"/>
    <w:rsid w:val="00C8596F"/>
    <w:rsid w:val="00C86271"/>
    <w:rsid w:val="00C8660D"/>
    <w:rsid w:val="00C86CCE"/>
    <w:rsid w:val="00C870C0"/>
    <w:rsid w:val="00C90BA2"/>
    <w:rsid w:val="00C90C47"/>
    <w:rsid w:val="00C91F83"/>
    <w:rsid w:val="00C951AF"/>
    <w:rsid w:val="00C965FE"/>
    <w:rsid w:val="00C96794"/>
    <w:rsid w:val="00C9688A"/>
    <w:rsid w:val="00C971BB"/>
    <w:rsid w:val="00C9739E"/>
    <w:rsid w:val="00CA0071"/>
    <w:rsid w:val="00CA0AB6"/>
    <w:rsid w:val="00CA0D6C"/>
    <w:rsid w:val="00CA1583"/>
    <w:rsid w:val="00CA16ED"/>
    <w:rsid w:val="00CA1D8F"/>
    <w:rsid w:val="00CA2488"/>
    <w:rsid w:val="00CA2E27"/>
    <w:rsid w:val="00CA697E"/>
    <w:rsid w:val="00CA7F1A"/>
    <w:rsid w:val="00CB0092"/>
    <w:rsid w:val="00CB03FD"/>
    <w:rsid w:val="00CB0922"/>
    <w:rsid w:val="00CB099E"/>
    <w:rsid w:val="00CB1564"/>
    <w:rsid w:val="00CB1B69"/>
    <w:rsid w:val="00CB1DC4"/>
    <w:rsid w:val="00CB2854"/>
    <w:rsid w:val="00CB4172"/>
    <w:rsid w:val="00CB4438"/>
    <w:rsid w:val="00CB51EB"/>
    <w:rsid w:val="00CB53E5"/>
    <w:rsid w:val="00CB58E3"/>
    <w:rsid w:val="00CB6142"/>
    <w:rsid w:val="00CB6228"/>
    <w:rsid w:val="00CB6D33"/>
    <w:rsid w:val="00CB7875"/>
    <w:rsid w:val="00CC01BA"/>
    <w:rsid w:val="00CC1354"/>
    <w:rsid w:val="00CC2903"/>
    <w:rsid w:val="00CC3D9F"/>
    <w:rsid w:val="00CC474D"/>
    <w:rsid w:val="00CC47C6"/>
    <w:rsid w:val="00CC4CDD"/>
    <w:rsid w:val="00CC4FD0"/>
    <w:rsid w:val="00CC5E45"/>
    <w:rsid w:val="00CC62B0"/>
    <w:rsid w:val="00CC64FE"/>
    <w:rsid w:val="00CC762A"/>
    <w:rsid w:val="00CC7936"/>
    <w:rsid w:val="00CC7CE9"/>
    <w:rsid w:val="00CD0C50"/>
    <w:rsid w:val="00CD1F95"/>
    <w:rsid w:val="00CD26EA"/>
    <w:rsid w:val="00CD2A47"/>
    <w:rsid w:val="00CD2B4E"/>
    <w:rsid w:val="00CD2D93"/>
    <w:rsid w:val="00CD2DBF"/>
    <w:rsid w:val="00CD37EB"/>
    <w:rsid w:val="00CD586F"/>
    <w:rsid w:val="00CD5C31"/>
    <w:rsid w:val="00CD67C7"/>
    <w:rsid w:val="00CD6EDC"/>
    <w:rsid w:val="00CD7A88"/>
    <w:rsid w:val="00CE0004"/>
    <w:rsid w:val="00CE0610"/>
    <w:rsid w:val="00CE06B1"/>
    <w:rsid w:val="00CE1657"/>
    <w:rsid w:val="00CE2822"/>
    <w:rsid w:val="00CE3A30"/>
    <w:rsid w:val="00CE4B27"/>
    <w:rsid w:val="00CE52B3"/>
    <w:rsid w:val="00CE5C13"/>
    <w:rsid w:val="00CE63CB"/>
    <w:rsid w:val="00CE6BC2"/>
    <w:rsid w:val="00CF01AD"/>
    <w:rsid w:val="00CF02F7"/>
    <w:rsid w:val="00CF0D27"/>
    <w:rsid w:val="00CF3DAB"/>
    <w:rsid w:val="00CF4073"/>
    <w:rsid w:val="00CF4917"/>
    <w:rsid w:val="00CF4EB4"/>
    <w:rsid w:val="00CF5107"/>
    <w:rsid w:val="00CF53B6"/>
    <w:rsid w:val="00CF5826"/>
    <w:rsid w:val="00CF7498"/>
    <w:rsid w:val="00D00179"/>
    <w:rsid w:val="00D015A2"/>
    <w:rsid w:val="00D01B24"/>
    <w:rsid w:val="00D029D1"/>
    <w:rsid w:val="00D03293"/>
    <w:rsid w:val="00D03C9A"/>
    <w:rsid w:val="00D03DD6"/>
    <w:rsid w:val="00D05018"/>
    <w:rsid w:val="00D06869"/>
    <w:rsid w:val="00D06B4D"/>
    <w:rsid w:val="00D0772C"/>
    <w:rsid w:val="00D07B6D"/>
    <w:rsid w:val="00D1097F"/>
    <w:rsid w:val="00D1098B"/>
    <w:rsid w:val="00D10B85"/>
    <w:rsid w:val="00D10E9B"/>
    <w:rsid w:val="00D123B6"/>
    <w:rsid w:val="00D12407"/>
    <w:rsid w:val="00D13180"/>
    <w:rsid w:val="00D1503B"/>
    <w:rsid w:val="00D1525C"/>
    <w:rsid w:val="00D20A91"/>
    <w:rsid w:val="00D2179B"/>
    <w:rsid w:val="00D222DB"/>
    <w:rsid w:val="00D22501"/>
    <w:rsid w:val="00D22E5E"/>
    <w:rsid w:val="00D23F01"/>
    <w:rsid w:val="00D24791"/>
    <w:rsid w:val="00D25239"/>
    <w:rsid w:val="00D25889"/>
    <w:rsid w:val="00D25959"/>
    <w:rsid w:val="00D25C43"/>
    <w:rsid w:val="00D26064"/>
    <w:rsid w:val="00D26AFD"/>
    <w:rsid w:val="00D30FFF"/>
    <w:rsid w:val="00D3171D"/>
    <w:rsid w:val="00D336D6"/>
    <w:rsid w:val="00D35DCE"/>
    <w:rsid w:val="00D37CBD"/>
    <w:rsid w:val="00D40064"/>
    <w:rsid w:val="00D40171"/>
    <w:rsid w:val="00D403B9"/>
    <w:rsid w:val="00D419CA"/>
    <w:rsid w:val="00D43B69"/>
    <w:rsid w:val="00D4499C"/>
    <w:rsid w:val="00D45BE9"/>
    <w:rsid w:val="00D45E41"/>
    <w:rsid w:val="00D46666"/>
    <w:rsid w:val="00D46C9D"/>
    <w:rsid w:val="00D47929"/>
    <w:rsid w:val="00D50083"/>
    <w:rsid w:val="00D50143"/>
    <w:rsid w:val="00D5049B"/>
    <w:rsid w:val="00D51297"/>
    <w:rsid w:val="00D517EA"/>
    <w:rsid w:val="00D5209A"/>
    <w:rsid w:val="00D523A8"/>
    <w:rsid w:val="00D536C5"/>
    <w:rsid w:val="00D536E8"/>
    <w:rsid w:val="00D53B1B"/>
    <w:rsid w:val="00D53C03"/>
    <w:rsid w:val="00D53EE8"/>
    <w:rsid w:val="00D549E6"/>
    <w:rsid w:val="00D54ED2"/>
    <w:rsid w:val="00D56B26"/>
    <w:rsid w:val="00D57DF7"/>
    <w:rsid w:val="00D604FF"/>
    <w:rsid w:val="00D623B9"/>
    <w:rsid w:val="00D628E1"/>
    <w:rsid w:val="00D637F5"/>
    <w:rsid w:val="00D63903"/>
    <w:rsid w:val="00D63975"/>
    <w:rsid w:val="00D639E1"/>
    <w:rsid w:val="00D63F00"/>
    <w:rsid w:val="00D64B96"/>
    <w:rsid w:val="00D64BE6"/>
    <w:rsid w:val="00D670FB"/>
    <w:rsid w:val="00D70546"/>
    <w:rsid w:val="00D71CB5"/>
    <w:rsid w:val="00D73564"/>
    <w:rsid w:val="00D744FE"/>
    <w:rsid w:val="00D74E97"/>
    <w:rsid w:val="00D75965"/>
    <w:rsid w:val="00D75D87"/>
    <w:rsid w:val="00D76479"/>
    <w:rsid w:val="00D767D7"/>
    <w:rsid w:val="00D77268"/>
    <w:rsid w:val="00D77559"/>
    <w:rsid w:val="00D77A4C"/>
    <w:rsid w:val="00D77E00"/>
    <w:rsid w:val="00D80A98"/>
    <w:rsid w:val="00D8232F"/>
    <w:rsid w:val="00D8414D"/>
    <w:rsid w:val="00D850D9"/>
    <w:rsid w:val="00D854AD"/>
    <w:rsid w:val="00D855AE"/>
    <w:rsid w:val="00D859CE"/>
    <w:rsid w:val="00D85B72"/>
    <w:rsid w:val="00D862E1"/>
    <w:rsid w:val="00D86B9D"/>
    <w:rsid w:val="00D87003"/>
    <w:rsid w:val="00D87336"/>
    <w:rsid w:val="00D87379"/>
    <w:rsid w:val="00D876AF"/>
    <w:rsid w:val="00D87702"/>
    <w:rsid w:val="00D90DAF"/>
    <w:rsid w:val="00D91CA3"/>
    <w:rsid w:val="00D92620"/>
    <w:rsid w:val="00D927E5"/>
    <w:rsid w:val="00D92FEE"/>
    <w:rsid w:val="00D9320F"/>
    <w:rsid w:val="00D94216"/>
    <w:rsid w:val="00D94E51"/>
    <w:rsid w:val="00D9560C"/>
    <w:rsid w:val="00D95D5E"/>
    <w:rsid w:val="00D97935"/>
    <w:rsid w:val="00DA0A43"/>
    <w:rsid w:val="00DA159E"/>
    <w:rsid w:val="00DA21A2"/>
    <w:rsid w:val="00DA2AC8"/>
    <w:rsid w:val="00DA2C58"/>
    <w:rsid w:val="00DA2EB3"/>
    <w:rsid w:val="00DA4FBD"/>
    <w:rsid w:val="00DA516B"/>
    <w:rsid w:val="00DA5FF5"/>
    <w:rsid w:val="00DA60C8"/>
    <w:rsid w:val="00DA611D"/>
    <w:rsid w:val="00DA6FB1"/>
    <w:rsid w:val="00DB034C"/>
    <w:rsid w:val="00DB0E9C"/>
    <w:rsid w:val="00DB15F9"/>
    <w:rsid w:val="00DB1BA5"/>
    <w:rsid w:val="00DB1DB9"/>
    <w:rsid w:val="00DB2317"/>
    <w:rsid w:val="00DB296A"/>
    <w:rsid w:val="00DB2FD7"/>
    <w:rsid w:val="00DB432F"/>
    <w:rsid w:val="00DB43FA"/>
    <w:rsid w:val="00DB4C65"/>
    <w:rsid w:val="00DB4CC6"/>
    <w:rsid w:val="00DB5136"/>
    <w:rsid w:val="00DB51E4"/>
    <w:rsid w:val="00DB553F"/>
    <w:rsid w:val="00DB65B2"/>
    <w:rsid w:val="00DB7540"/>
    <w:rsid w:val="00DB78EF"/>
    <w:rsid w:val="00DC0D10"/>
    <w:rsid w:val="00DC12D9"/>
    <w:rsid w:val="00DC1342"/>
    <w:rsid w:val="00DC2CFF"/>
    <w:rsid w:val="00DC2DB5"/>
    <w:rsid w:val="00DC2ECE"/>
    <w:rsid w:val="00DC4D25"/>
    <w:rsid w:val="00DC545D"/>
    <w:rsid w:val="00DC7428"/>
    <w:rsid w:val="00DC7854"/>
    <w:rsid w:val="00DC79BB"/>
    <w:rsid w:val="00DC7F9F"/>
    <w:rsid w:val="00DD196A"/>
    <w:rsid w:val="00DD2742"/>
    <w:rsid w:val="00DD2A63"/>
    <w:rsid w:val="00DD39B6"/>
    <w:rsid w:val="00DD3C8B"/>
    <w:rsid w:val="00DD3E55"/>
    <w:rsid w:val="00DD42D4"/>
    <w:rsid w:val="00DD5F85"/>
    <w:rsid w:val="00DD6F31"/>
    <w:rsid w:val="00DE160B"/>
    <w:rsid w:val="00DE1810"/>
    <w:rsid w:val="00DE2220"/>
    <w:rsid w:val="00DE2B8E"/>
    <w:rsid w:val="00DE4013"/>
    <w:rsid w:val="00DE4454"/>
    <w:rsid w:val="00DE46FE"/>
    <w:rsid w:val="00DE4EEE"/>
    <w:rsid w:val="00DE4F54"/>
    <w:rsid w:val="00DE5F6B"/>
    <w:rsid w:val="00DE6A92"/>
    <w:rsid w:val="00DE70D2"/>
    <w:rsid w:val="00DE72F1"/>
    <w:rsid w:val="00DE7AFD"/>
    <w:rsid w:val="00DF0E63"/>
    <w:rsid w:val="00DF170C"/>
    <w:rsid w:val="00DF1F36"/>
    <w:rsid w:val="00DF32CD"/>
    <w:rsid w:val="00DF3868"/>
    <w:rsid w:val="00DF43F4"/>
    <w:rsid w:val="00DF4C3F"/>
    <w:rsid w:val="00DF501D"/>
    <w:rsid w:val="00DF6364"/>
    <w:rsid w:val="00DF6A60"/>
    <w:rsid w:val="00DF6E1C"/>
    <w:rsid w:val="00E0069F"/>
    <w:rsid w:val="00E011B2"/>
    <w:rsid w:val="00E015D2"/>
    <w:rsid w:val="00E02426"/>
    <w:rsid w:val="00E02449"/>
    <w:rsid w:val="00E030A5"/>
    <w:rsid w:val="00E03214"/>
    <w:rsid w:val="00E0421D"/>
    <w:rsid w:val="00E04324"/>
    <w:rsid w:val="00E05304"/>
    <w:rsid w:val="00E059AB"/>
    <w:rsid w:val="00E0603C"/>
    <w:rsid w:val="00E06BE8"/>
    <w:rsid w:val="00E1002F"/>
    <w:rsid w:val="00E10C89"/>
    <w:rsid w:val="00E11055"/>
    <w:rsid w:val="00E12476"/>
    <w:rsid w:val="00E13C36"/>
    <w:rsid w:val="00E14332"/>
    <w:rsid w:val="00E14683"/>
    <w:rsid w:val="00E14EE1"/>
    <w:rsid w:val="00E14F9B"/>
    <w:rsid w:val="00E159E1"/>
    <w:rsid w:val="00E15A19"/>
    <w:rsid w:val="00E16E18"/>
    <w:rsid w:val="00E170FE"/>
    <w:rsid w:val="00E176B9"/>
    <w:rsid w:val="00E177AF"/>
    <w:rsid w:val="00E20A0C"/>
    <w:rsid w:val="00E21D45"/>
    <w:rsid w:val="00E21E79"/>
    <w:rsid w:val="00E221C9"/>
    <w:rsid w:val="00E22339"/>
    <w:rsid w:val="00E22E13"/>
    <w:rsid w:val="00E23A4E"/>
    <w:rsid w:val="00E24759"/>
    <w:rsid w:val="00E257B3"/>
    <w:rsid w:val="00E25DD1"/>
    <w:rsid w:val="00E26485"/>
    <w:rsid w:val="00E2659F"/>
    <w:rsid w:val="00E26701"/>
    <w:rsid w:val="00E27260"/>
    <w:rsid w:val="00E27267"/>
    <w:rsid w:val="00E27CA1"/>
    <w:rsid w:val="00E30DC4"/>
    <w:rsid w:val="00E31718"/>
    <w:rsid w:val="00E320AA"/>
    <w:rsid w:val="00E324EA"/>
    <w:rsid w:val="00E3254A"/>
    <w:rsid w:val="00E32F4D"/>
    <w:rsid w:val="00E330F1"/>
    <w:rsid w:val="00E3421B"/>
    <w:rsid w:val="00E343E4"/>
    <w:rsid w:val="00E3483F"/>
    <w:rsid w:val="00E3647D"/>
    <w:rsid w:val="00E36997"/>
    <w:rsid w:val="00E36F19"/>
    <w:rsid w:val="00E376C1"/>
    <w:rsid w:val="00E37EB2"/>
    <w:rsid w:val="00E4163D"/>
    <w:rsid w:val="00E4233D"/>
    <w:rsid w:val="00E423A0"/>
    <w:rsid w:val="00E423F4"/>
    <w:rsid w:val="00E4324B"/>
    <w:rsid w:val="00E43421"/>
    <w:rsid w:val="00E44237"/>
    <w:rsid w:val="00E4481C"/>
    <w:rsid w:val="00E449E4"/>
    <w:rsid w:val="00E4503C"/>
    <w:rsid w:val="00E45620"/>
    <w:rsid w:val="00E45ED7"/>
    <w:rsid w:val="00E461E9"/>
    <w:rsid w:val="00E46DF4"/>
    <w:rsid w:val="00E46DFF"/>
    <w:rsid w:val="00E46FAD"/>
    <w:rsid w:val="00E47099"/>
    <w:rsid w:val="00E4716B"/>
    <w:rsid w:val="00E47E5F"/>
    <w:rsid w:val="00E50423"/>
    <w:rsid w:val="00E50559"/>
    <w:rsid w:val="00E51011"/>
    <w:rsid w:val="00E52801"/>
    <w:rsid w:val="00E528AF"/>
    <w:rsid w:val="00E5369B"/>
    <w:rsid w:val="00E55145"/>
    <w:rsid w:val="00E55512"/>
    <w:rsid w:val="00E55B5B"/>
    <w:rsid w:val="00E55FE1"/>
    <w:rsid w:val="00E564BC"/>
    <w:rsid w:val="00E567DD"/>
    <w:rsid w:val="00E5716D"/>
    <w:rsid w:val="00E57544"/>
    <w:rsid w:val="00E57BF8"/>
    <w:rsid w:val="00E602C3"/>
    <w:rsid w:val="00E620DC"/>
    <w:rsid w:val="00E624CF"/>
    <w:rsid w:val="00E62736"/>
    <w:rsid w:val="00E62B37"/>
    <w:rsid w:val="00E62D0C"/>
    <w:rsid w:val="00E63411"/>
    <w:rsid w:val="00E63BED"/>
    <w:rsid w:val="00E63E06"/>
    <w:rsid w:val="00E64294"/>
    <w:rsid w:val="00E649E3"/>
    <w:rsid w:val="00E650BE"/>
    <w:rsid w:val="00E65A72"/>
    <w:rsid w:val="00E6601C"/>
    <w:rsid w:val="00E667A8"/>
    <w:rsid w:val="00E66ABA"/>
    <w:rsid w:val="00E67279"/>
    <w:rsid w:val="00E71417"/>
    <w:rsid w:val="00E72270"/>
    <w:rsid w:val="00E72BE6"/>
    <w:rsid w:val="00E73EBE"/>
    <w:rsid w:val="00E7594C"/>
    <w:rsid w:val="00E770B7"/>
    <w:rsid w:val="00E775C6"/>
    <w:rsid w:val="00E808CC"/>
    <w:rsid w:val="00E810A9"/>
    <w:rsid w:val="00E81578"/>
    <w:rsid w:val="00E81EFD"/>
    <w:rsid w:val="00E82FAA"/>
    <w:rsid w:val="00E83309"/>
    <w:rsid w:val="00E83445"/>
    <w:rsid w:val="00E8379D"/>
    <w:rsid w:val="00E8389C"/>
    <w:rsid w:val="00E83A70"/>
    <w:rsid w:val="00E84050"/>
    <w:rsid w:val="00E85117"/>
    <w:rsid w:val="00E85899"/>
    <w:rsid w:val="00E8696E"/>
    <w:rsid w:val="00E87E9F"/>
    <w:rsid w:val="00E903A0"/>
    <w:rsid w:val="00E906DE"/>
    <w:rsid w:val="00E91AD2"/>
    <w:rsid w:val="00E91B54"/>
    <w:rsid w:val="00E91C37"/>
    <w:rsid w:val="00E9237B"/>
    <w:rsid w:val="00E9261B"/>
    <w:rsid w:val="00E92EF3"/>
    <w:rsid w:val="00E93CBB"/>
    <w:rsid w:val="00E94D60"/>
    <w:rsid w:val="00E97699"/>
    <w:rsid w:val="00E97A52"/>
    <w:rsid w:val="00EA0629"/>
    <w:rsid w:val="00EA08E2"/>
    <w:rsid w:val="00EA0A6D"/>
    <w:rsid w:val="00EA12E8"/>
    <w:rsid w:val="00EA30CD"/>
    <w:rsid w:val="00EA3E3A"/>
    <w:rsid w:val="00EA4D37"/>
    <w:rsid w:val="00EA4FF9"/>
    <w:rsid w:val="00EA56E4"/>
    <w:rsid w:val="00EA5FA5"/>
    <w:rsid w:val="00EA6893"/>
    <w:rsid w:val="00EA6ACD"/>
    <w:rsid w:val="00EA7984"/>
    <w:rsid w:val="00EB15B8"/>
    <w:rsid w:val="00EB1D97"/>
    <w:rsid w:val="00EB4DD9"/>
    <w:rsid w:val="00EB6D22"/>
    <w:rsid w:val="00EB7690"/>
    <w:rsid w:val="00EB7E60"/>
    <w:rsid w:val="00EC03B5"/>
    <w:rsid w:val="00EC07A2"/>
    <w:rsid w:val="00EC13E3"/>
    <w:rsid w:val="00EC1555"/>
    <w:rsid w:val="00EC20BE"/>
    <w:rsid w:val="00EC292D"/>
    <w:rsid w:val="00EC2C41"/>
    <w:rsid w:val="00EC2F55"/>
    <w:rsid w:val="00EC371F"/>
    <w:rsid w:val="00EC3C69"/>
    <w:rsid w:val="00EC4703"/>
    <w:rsid w:val="00EC4925"/>
    <w:rsid w:val="00EC6064"/>
    <w:rsid w:val="00EC758B"/>
    <w:rsid w:val="00EC79C1"/>
    <w:rsid w:val="00ED0BB5"/>
    <w:rsid w:val="00ED1A43"/>
    <w:rsid w:val="00ED1C80"/>
    <w:rsid w:val="00ED1DA3"/>
    <w:rsid w:val="00ED1F43"/>
    <w:rsid w:val="00ED24F9"/>
    <w:rsid w:val="00ED2B06"/>
    <w:rsid w:val="00ED3D2C"/>
    <w:rsid w:val="00ED425E"/>
    <w:rsid w:val="00ED5261"/>
    <w:rsid w:val="00ED664B"/>
    <w:rsid w:val="00ED6937"/>
    <w:rsid w:val="00EE05FC"/>
    <w:rsid w:val="00EE128D"/>
    <w:rsid w:val="00EE33D9"/>
    <w:rsid w:val="00EE3BB9"/>
    <w:rsid w:val="00EE43D2"/>
    <w:rsid w:val="00EE45E3"/>
    <w:rsid w:val="00EE4717"/>
    <w:rsid w:val="00EE4B8A"/>
    <w:rsid w:val="00EE5AA3"/>
    <w:rsid w:val="00EE5E18"/>
    <w:rsid w:val="00EF0511"/>
    <w:rsid w:val="00EF0A39"/>
    <w:rsid w:val="00EF2156"/>
    <w:rsid w:val="00EF282D"/>
    <w:rsid w:val="00EF2DB3"/>
    <w:rsid w:val="00EF338D"/>
    <w:rsid w:val="00EF48F7"/>
    <w:rsid w:val="00EF5682"/>
    <w:rsid w:val="00EF569F"/>
    <w:rsid w:val="00EF68B8"/>
    <w:rsid w:val="00EF7A93"/>
    <w:rsid w:val="00F001D8"/>
    <w:rsid w:val="00F00A73"/>
    <w:rsid w:val="00F00E52"/>
    <w:rsid w:val="00F016C3"/>
    <w:rsid w:val="00F02C0E"/>
    <w:rsid w:val="00F03572"/>
    <w:rsid w:val="00F03B6B"/>
    <w:rsid w:val="00F03C12"/>
    <w:rsid w:val="00F04032"/>
    <w:rsid w:val="00F04E27"/>
    <w:rsid w:val="00F05404"/>
    <w:rsid w:val="00F05431"/>
    <w:rsid w:val="00F07B51"/>
    <w:rsid w:val="00F07D19"/>
    <w:rsid w:val="00F1051A"/>
    <w:rsid w:val="00F1108C"/>
    <w:rsid w:val="00F120B1"/>
    <w:rsid w:val="00F13D1F"/>
    <w:rsid w:val="00F13F28"/>
    <w:rsid w:val="00F1441F"/>
    <w:rsid w:val="00F15049"/>
    <w:rsid w:val="00F15471"/>
    <w:rsid w:val="00F15918"/>
    <w:rsid w:val="00F16720"/>
    <w:rsid w:val="00F16C17"/>
    <w:rsid w:val="00F16E5E"/>
    <w:rsid w:val="00F2000F"/>
    <w:rsid w:val="00F201B4"/>
    <w:rsid w:val="00F20526"/>
    <w:rsid w:val="00F20A70"/>
    <w:rsid w:val="00F20EDE"/>
    <w:rsid w:val="00F235FD"/>
    <w:rsid w:val="00F2361A"/>
    <w:rsid w:val="00F23DB2"/>
    <w:rsid w:val="00F2449A"/>
    <w:rsid w:val="00F244B7"/>
    <w:rsid w:val="00F248CB"/>
    <w:rsid w:val="00F24ADE"/>
    <w:rsid w:val="00F25137"/>
    <w:rsid w:val="00F25393"/>
    <w:rsid w:val="00F25801"/>
    <w:rsid w:val="00F25A5A"/>
    <w:rsid w:val="00F26590"/>
    <w:rsid w:val="00F26D07"/>
    <w:rsid w:val="00F2729C"/>
    <w:rsid w:val="00F274AB"/>
    <w:rsid w:val="00F27565"/>
    <w:rsid w:val="00F30150"/>
    <w:rsid w:val="00F30D16"/>
    <w:rsid w:val="00F33AE1"/>
    <w:rsid w:val="00F33BCE"/>
    <w:rsid w:val="00F33E78"/>
    <w:rsid w:val="00F342B9"/>
    <w:rsid w:val="00F35AF7"/>
    <w:rsid w:val="00F36021"/>
    <w:rsid w:val="00F40F01"/>
    <w:rsid w:val="00F412E2"/>
    <w:rsid w:val="00F417D3"/>
    <w:rsid w:val="00F41A76"/>
    <w:rsid w:val="00F4204A"/>
    <w:rsid w:val="00F427D0"/>
    <w:rsid w:val="00F42BA8"/>
    <w:rsid w:val="00F430C1"/>
    <w:rsid w:val="00F438A2"/>
    <w:rsid w:val="00F44307"/>
    <w:rsid w:val="00F44C4A"/>
    <w:rsid w:val="00F45EAC"/>
    <w:rsid w:val="00F463AD"/>
    <w:rsid w:val="00F46556"/>
    <w:rsid w:val="00F46844"/>
    <w:rsid w:val="00F50D78"/>
    <w:rsid w:val="00F510F0"/>
    <w:rsid w:val="00F513CA"/>
    <w:rsid w:val="00F53946"/>
    <w:rsid w:val="00F54186"/>
    <w:rsid w:val="00F54A79"/>
    <w:rsid w:val="00F55518"/>
    <w:rsid w:val="00F55D6C"/>
    <w:rsid w:val="00F56191"/>
    <w:rsid w:val="00F569CF"/>
    <w:rsid w:val="00F56B3D"/>
    <w:rsid w:val="00F5775C"/>
    <w:rsid w:val="00F57A25"/>
    <w:rsid w:val="00F611F8"/>
    <w:rsid w:val="00F614C1"/>
    <w:rsid w:val="00F61A86"/>
    <w:rsid w:val="00F61CC4"/>
    <w:rsid w:val="00F62DA2"/>
    <w:rsid w:val="00F6316F"/>
    <w:rsid w:val="00F6407A"/>
    <w:rsid w:val="00F64CD8"/>
    <w:rsid w:val="00F64CE6"/>
    <w:rsid w:val="00F65122"/>
    <w:rsid w:val="00F65D11"/>
    <w:rsid w:val="00F679D2"/>
    <w:rsid w:val="00F67A15"/>
    <w:rsid w:val="00F70308"/>
    <w:rsid w:val="00F710DE"/>
    <w:rsid w:val="00F72CB1"/>
    <w:rsid w:val="00F72F0F"/>
    <w:rsid w:val="00F73392"/>
    <w:rsid w:val="00F73564"/>
    <w:rsid w:val="00F74508"/>
    <w:rsid w:val="00F74B57"/>
    <w:rsid w:val="00F750F7"/>
    <w:rsid w:val="00F76065"/>
    <w:rsid w:val="00F76589"/>
    <w:rsid w:val="00F7677C"/>
    <w:rsid w:val="00F7743D"/>
    <w:rsid w:val="00F8015F"/>
    <w:rsid w:val="00F80DF9"/>
    <w:rsid w:val="00F810D2"/>
    <w:rsid w:val="00F81C86"/>
    <w:rsid w:val="00F82643"/>
    <w:rsid w:val="00F82E51"/>
    <w:rsid w:val="00F82FEB"/>
    <w:rsid w:val="00F831EB"/>
    <w:rsid w:val="00F83644"/>
    <w:rsid w:val="00F84A52"/>
    <w:rsid w:val="00F8575A"/>
    <w:rsid w:val="00F857C4"/>
    <w:rsid w:val="00F8597F"/>
    <w:rsid w:val="00F866B7"/>
    <w:rsid w:val="00F87CE7"/>
    <w:rsid w:val="00F90D20"/>
    <w:rsid w:val="00F90E61"/>
    <w:rsid w:val="00F91655"/>
    <w:rsid w:val="00F9188C"/>
    <w:rsid w:val="00F919F5"/>
    <w:rsid w:val="00F93BB6"/>
    <w:rsid w:val="00F947EA"/>
    <w:rsid w:val="00F94859"/>
    <w:rsid w:val="00F949D7"/>
    <w:rsid w:val="00F95667"/>
    <w:rsid w:val="00F96C1B"/>
    <w:rsid w:val="00F96CB4"/>
    <w:rsid w:val="00F96EFD"/>
    <w:rsid w:val="00FA0803"/>
    <w:rsid w:val="00FA152D"/>
    <w:rsid w:val="00FA2001"/>
    <w:rsid w:val="00FA393D"/>
    <w:rsid w:val="00FA46A5"/>
    <w:rsid w:val="00FA4BA1"/>
    <w:rsid w:val="00FA4C23"/>
    <w:rsid w:val="00FA55ED"/>
    <w:rsid w:val="00FA5A9B"/>
    <w:rsid w:val="00FA5D30"/>
    <w:rsid w:val="00FA665D"/>
    <w:rsid w:val="00FA7499"/>
    <w:rsid w:val="00FA756C"/>
    <w:rsid w:val="00FB0857"/>
    <w:rsid w:val="00FB09DF"/>
    <w:rsid w:val="00FB1768"/>
    <w:rsid w:val="00FB19D2"/>
    <w:rsid w:val="00FB284E"/>
    <w:rsid w:val="00FB3811"/>
    <w:rsid w:val="00FB3990"/>
    <w:rsid w:val="00FB44CF"/>
    <w:rsid w:val="00FB44E3"/>
    <w:rsid w:val="00FB4CB5"/>
    <w:rsid w:val="00FB5477"/>
    <w:rsid w:val="00FB565B"/>
    <w:rsid w:val="00FB6179"/>
    <w:rsid w:val="00FB6D3A"/>
    <w:rsid w:val="00FB709F"/>
    <w:rsid w:val="00FB78C5"/>
    <w:rsid w:val="00FB7D8C"/>
    <w:rsid w:val="00FC00BA"/>
    <w:rsid w:val="00FC04A4"/>
    <w:rsid w:val="00FC15E2"/>
    <w:rsid w:val="00FC2018"/>
    <w:rsid w:val="00FC2BED"/>
    <w:rsid w:val="00FC4C7F"/>
    <w:rsid w:val="00FC509B"/>
    <w:rsid w:val="00FC7EAF"/>
    <w:rsid w:val="00FD0A66"/>
    <w:rsid w:val="00FD0CCE"/>
    <w:rsid w:val="00FD0E4F"/>
    <w:rsid w:val="00FD19C4"/>
    <w:rsid w:val="00FD1DA9"/>
    <w:rsid w:val="00FD2415"/>
    <w:rsid w:val="00FD32A4"/>
    <w:rsid w:val="00FD4987"/>
    <w:rsid w:val="00FD5458"/>
    <w:rsid w:val="00FD55BC"/>
    <w:rsid w:val="00FD635B"/>
    <w:rsid w:val="00FD68D2"/>
    <w:rsid w:val="00FD6F41"/>
    <w:rsid w:val="00FD7527"/>
    <w:rsid w:val="00FE0431"/>
    <w:rsid w:val="00FE104D"/>
    <w:rsid w:val="00FE138E"/>
    <w:rsid w:val="00FE1588"/>
    <w:rsid w:val="00FE1599"/>
    <w:rsid w:val="00FE241C"/>
    <w:rsid w:val="00FE2AC5"/>
    <w:rsid w:val="00FE3602"/>
    <w:rsid w:val="00FE3883"/>
    <w:rsid w:val="00FE3A07"/>
    <w:rsid w:val="00FE3BDA"/>
    <w:rsid w:val="00FE48E1"/>
    <w:rsid w:val="00FE52AA"/>
    <w:rsid w:val="00FE543B"/>
    <w:rsid w:val="00FE56FD"/>
    <w:rsid w:val="00FE64DA"/>
    <w:rsid w:val="00FE66A4"/>
    <w:rsid w:val="00FF1213"/>
    <w:rsid w:val="00FF15DD"/>
    <w:rsid w:val="00FF19B2"/>
    <w:rsid w:val="00FF2A44"/>
    <w:rsid w:val="00FF3003"/>
    <w:rsid w:val="00FF3453"/>
    <w:rsid w:val="00FF3FD7"/>
    <w:rsid w:val="00FF466D"/>
    <w:rsid w:val="00FF4760"/>
    <w:rsid w:val="00FF47B0"/>
    <w:rsid w:val="00FF4D92"/>
    <w:rsid w:val="00FF518F"/>
    <w:rsid w:val="00FF6379"/>
    <w:rsid w:val="00FF6459"/>
    <w:rsid w:val="00FF6CEC"/>
    <w:rsid w:val="00FF723B"/>
    <w:rsid w:val="00FF7717"/>
    <w:rsid w:val="00FF7991"/>
    <w:rsid w:val="01592D6B"/>
    <w:rsid w:val="015C48BA"/>
    <w:rsid w:val="01646ED4"/>
    <w:rsid w:val="019C3E69"/>
    <w:rsid w:val="01B92A7F"/>
    <w:rsid w:val="01CC1A40"/>
    <w:rsid w:val="01DE115C"/>
    <w:rsid w:val="02441F1E"/>
    <w:rsid w:val="024B0AD3"/>
    <w:rsid w:val="02753E85"/>
    <w:rsid w:val="028916DF"/>
    <w:rsid w:val="028E0A41"/>
    <w:rsid w:val="02BD37F3"/>
    <w:rsid w:val="02E5725D"/>
    <w:rsid w:val="02EB05EB"/>
    <w:rsid w:val="030B2A37"/>
    <w:rsid w:val="03393105"/>
    <w:rsid w:val="03577A2F"/>
    <w:rsid w:val="036D2DAF"/>
    <w:rsid w:val="0388408C"/>
    <w:rsid w:val="03CA6453"/>
    <w:rsid w:val="040F3567"/>
    <w:rsid w:val="041D6BCE"/>
    <w:rsid w:val="0431202E"/>
    <w:rsid w:val="043A5387"/>
    <w:rsid w:val="04402271"/>
    <w:rsid w:val="046621ED"/>
    <w:rsid w:val="0466617C"/>
    <w:rsid w:val="047B1D76"/>
    <w:rsid w:val="049F3623"/>
    <w:rsid w:val="04C94D7E"/>
    <w:rsid w:val="04D42187"/>
    <w:rsid w:val="04D64F79"/>
    <w:rsid w:val="04F05A45"/>
    <w:rsid w:val="05106092"/>
    <w:rsid w:val="05322502"/>
    <w:rsid w:val="053A3164"/>
    <w:rsid w:val="054162A1"/>
    <w:rsid w:val="057E12A3"/>
    <w:rsid w:val="058A40EC"/>
    <w:rsid w:val="05900C3C"/>
    <w:rsid w:val="05B80C59"/>
    <w:rsid w:val="05D66FA3"/>
    <w:rsid w:val="05DE7739"/>
    <w:rsid w:val="05EA6938"/>
    <w:rsid w:val="05F133EA"/>
    <w:rsid w:val="0667442D"/>
    <w:rsid w:val="067508F8"/>
    <w:rsid w:val="067D59FE"/>
    <w:rsid w:val="06C278B5"/>
    <w:rsid w:val="071023CF"/>
    <w:rsid w:val="07192BA7"/>
    <w:rsid w:val="07464042"/>
    <w:rsid w:val="076F3599"/>
    <w:rsid w:val="079B2785"/>
    <w:rsid w:val="07A1396F"/>
    <w:rsid w:val="07B751D0"/>
    <w:rsid w:val="07C82CA9"/>
    <w:rsid w:val="08122176"/>
    <w:rsid w:val="0837398B"/>
    <w:rsid w:val="08413680"/>
    <w:rsid w:val="085F735E"/>
    <w:rsid w:val="08D73D40"/>
    <w:rsid w:val="08E21755"/>
    <w:rsid w:val="08E60609"/>
    <w:rsid w:val="08E65FFE"/>
    <w:rsid w:val="090A5480"/>
    <w:rsid w:val="09306D58"/>
    <w:rsid w:val="095C6EBC"/>
    <w:rsid w:val="096F5AD2"/>
    <w:rsid w:val="09A3113E"/>
    <w:rsid w:val="09B61270"/>
    <w:rsid w:val="09BC265D"/>
    <w:rsid w:val="09C03E63"/>
    <w:rsid w:val="09C86F91"/>
    <w:rsid w:val="09D62C54"/>
    <w:rsid w:val="09D678FF"/>
    <w:rsid w:val="09DA042B"/>
    <w:rsid w:val="09DB3C90"/>
    <w:rsid w:val="09F17412"/>
    <w:rsid w:val="0A187F18"/>
    <w:rsid w:val="0A33363C"/>
    <w:rsid w:val="0A67540F"/>
    <w:rsid w:val="0A6F157E"/>
    <w:rsid w:val="0AA96DC2"/>
    <w:rsid w:val="0AB57700"/>
    <w:rsid w:val="0AE22AF4"/>
    <w:rsid w:val="0B620C86"/>
    <w:rsid w:val="0B6C560B"/>
    <w:rsid w:val="0BA13004"/>
    <w:rsid w:val="0BA63647"/>
    <w:rsid w:val="0BBF43C3"/>
    <w:rsid w:val="0C405504"/>
    <w:rsid w:val="0C6522A6"/>
    <w:rsid w:val="0C7B4E13"/>
    <w:rsid w:val="0D18022F"/>
    <w:rsid w:val="0D1F15BD"/>
    <w:rsid w:val="0D444607"/>
    <w:rsid w:val="0D70006B"/>
    <w:rsid w:val="0D7B3CEA"/>
    <w:rsid w:val="0D8B0A01"/>
    <w:rsid w:val="0D8F508C"/>
    <w:rsid w:val="0D9C49BC"/>
    <w:rsid w:val="0DA67119"/>
    <w:rsid w:val="0DAD5254"/>
    <w:rsid w:val="0DD157DA"/>
    <w:rsid w:val="0DD9035E"/>
    <w:rsid w:val="0E210A84"/>
    <w:rsid w:val="0E4946FF"/>
    <w:rsid w:val="0EAC0C2F"/>
    <w:rsid w:val="0EC266A4"/>
    <w:rsid w:val="0EC96413"/>
    <w:rsid w:val="0EE92032"/>
    <w:rsid w:val="0EF6634E"/>
    <w:rsid w:val="0F043816"/>
    <w:rsid w:val="0F1D38DB"/>
    <w:rsid w:val="0F285216"/>
    <w:rsid w:val="0F2D5E58"/>
    <w:rsid w:val="0F4277E5"/>
    <w:rsid w:val="0FAA6C85"/>
    <w:rsid w:val="0FB104C7"/>
    <w:rsid w:val="0FB672D0"/>
    <w:rsid w:val="0FD27C0B"/>
    <w:rsid w:val="0FD74E46"/>
    <w:rsid w:val="1012204C"/>
    <w:rsid w:val="103B7B5A"/>
    <w:rsid w:val="107124E9"/>
    <w:rsid w:val="107C2883"/>
    <w:rsid w:val="10E4240C"/>
    <w:rsid w:val="113109DB"/>
    <w:rsid w:val="114C0902"/>
    <w:rsid w:val="114C271C"/>
    <w:rsid w:val="11684525"/>
    <w:rsid w:val="11824B65"/>
    <w:rsid w:val="1212349F"/>
    <w:rsid w:val="12900868"/>
    <w:rsid w:val="12B862E3"/>
    <w:rsid w:val="12CA3D79"/>
    <w:rsid w:val="13054DB2"/>
    <w:rsid w:val="13702B73"/>
    <w:rsid w:val="13BF7656"/>
    <w:rsid w:val="13C06F2A"/>
    <w:rsid w:val="13CC5419"/>
    <w:rsid w:val="140B664E"/>
    <w:rsid w:val="14132E8F"/>
    <w:rsid w:val="14207048"/>
    <w:rsid w:val="14237D6B"/>
    <w:rsid w:val="142C45C0"/>
    <w:rsid w:val="14640F7B"/>
    <w:rsid w:val="147A17CF"/>
    <w:rsid w:val="14996CFA"/>
    <w:rsid w:val="14C14CFE"/>
    <w:rsid w:val="14F44817"/>
    <w:rsid w:val="151C33B3"/>
    <w:rsid w:val="15282FD9"/>
    <w:rsid w:val="158D4F6D"/>
    <w:rsid w:val="15C425D6"/>
    <w:rsid w:val="15F62324"/>
    <w:rsid w:val="16005D04"/>
    <w:rsid w:val="160C5CF3"/>
    <w:rsid w:val="161A7DDD"/>
    <w:rsid w:val="16390DE4"/>
    <w:rsid w:val="164B11A4"/>
    <w:rsid w:val="165778CD"/>
    <w:rsid w:val="165E48B2"/>
    <w:rsid w:val="16862550"/>
    <w:rsid w:val="16A03CC2"/>
    <w:rsid w:val="16BA5EB3"/>
    <w:rsid w:val="172758C0"/>
    <w:rsid w:val="172953D0"/>
    <w:rsid w:val="174A3CCE"/>
    <w:rsid w:val="17500471"/>
    <w:rsid w:val="17D378F2"/>
    <w:rsid w:val="17F378CF"/>
    <w:rsid w:val="181D0DEF"/>
    <w:rsid w:val="18607B95"/>
    <w:rsid w:val="18A73218"/>
    <w:rsid w:val="18D23988"/>
    <w:rsid w:val="18F03E0E"/>
    <w:rsid w:val="19061883"/>
    <w:rsid w:val="191F64A1"/>
    <w:rsid w:val="194B7296"/>
    <w:rsid w:val="196D1903"/>
    <w:rsid w:val="19723B78"/>
    <w:rsid w:val="1981715C"/>
    <w:rsid w:val="199C5D44"/>
    <w:rsid w:val="19F718A1"/>
    <w:rsid w:val="19FC1143"/>
    <w:rsid w:val="1A055264"/>
    <w:rsid w:val="1A1E6086"/>
    <w:rsid w:val="1A1F2BFD"/>
    <w:rsid w:val="1A2D593C"/>
    <w:rsid w:val="1A8439DC"/>
    <w:rsid w:val="1A9E251A"/>
    <w:rsid w:val="1A9F5AEC"/>
    <w:rsid w:val="1ABE743D"/>
    <w:rsid w:val="1AC26905"/>
    <w:rsid w:val="1ACE017F"/>
    <w:rsid w:val="1AD05CA5"/>
    <w:rsid w:val="1AD82902"/>
    <w:rsid w:val="1AD86198"/>
    <w:rsid w:val="1AE12D9D"/>
    <w:rsid w:val="1AFF7BA5"/>
    <w:rsid w:val="1B042155"/>
    <w:rsid w:val="1B19589E"/>
    <w:rsid w:val="1B1A33C4"/>
    <w:rsid w:val="1B4B4C0A"/>
    <w:rsid w:val="1B506DE6"/>
    <w:rsid w:val="1B6D5BEA"/>
    <w:rsid w:val="1B7F025A"/>
    <w:rsid w:val="1BBE5FF3"/>
    <w:rsid w:val="1BC95BF0"/>
    <w:rsid w:val="1BD87507"/>
    <w:rsid w:val="1BE46B64"/>
    <w:rsid w:val="1BE60158"/>
    <w:rsid w:val="1BF90573"/>
    <w:rsid w:val="1C2362A8"/>
    <w:rsid w:val="1C250273"/>
    <w:rsid w:val="1C35206A"/>
    <w:rsid w:val="1C3D70CE"/>
    <w:rsid w:val="1C4F3ED5"/>
    <w:rsid w:val="1C71170A"/>
    <w:rsid w:val="1C7E748C"/>
    <w:rsid w:val="1C8C20A0"/>
    <w:rsid w:val="1CCC5ACF"/>
    <w:rsid w:val="1CD554BE"/>
    <w:rsid w:val="1CE6442E"/>
    <w:rsid w:val="1CE67B22"/>
    <w:rsid w:val="1CE912A0"/>
    <w:rsid w:val="1D5B0873"/>
    <w:rsid w:val="1D7F2A09"/>
    <w:rsid w:val="1D9456B0"/>
    <w:rsid w:val="1DA376A1"/>
    <w:rsid w:val="1DD45AAC"/>
    <w:rsid w:val="1E002D45"/>
    <w:rsid w:val="1E110AAE"/>
    <w:rsid w:val="1E3F22A6"/>
    <w:rsid w:val="1E4F4557"/>
    <w:rsid w:val="1E4F5A7B"/>
    <w:rsid w:val="1E636E30"/>
    <w:rsid w:val="1E663D15"/>
    <w:rsid w:val="1E9F430C"/>
    <w:rsid w:val="1EA34820"/>
    <w:rsid w:val="1ECA0CB6"/>
    <w:rsid w:val="1EE67524"/>
    <w:rsid w:val="1EEC45C5"/>
    <w:rsid w:val="1F134CFA"/>
    <w:rsid w:val="1F21775B"/>
    <w:rsid w:val="1F2D7B6A"/>
    <w:rsid w:val="1F3A0550"/>
    <w:rsid w:val="1F3A0A8C"/>
    <w:rsid w:val="1F867B89"/>
    <w:rsid w:val="1F895F93"/>
    <w:rsid w:val="1F905ED3"/>
    <w:rsid w:val="1F95479D"/>
    <w:rsid w:val="1FA13D5D"/>
    <w:rsid w:val="1FDE2C12"/>
    <w:rsid w:val="1FE5125D"/>
    <w:rsid w:val="204131A1"/>
    <w:rsid w:val="205704BF"/>
    <w:rsid w:val="205B0707"/>
    <w:rsid w:val="205E4866"/>
    <w:rsid w:val="2072424B"/>
    <w:rsid w:val="20A36C18"/>
    <w:rsid w:val="20AE6A88"/>
    <w:rsid w:val="20B45858"/>
    <w:rsid w:val="20BA09A5"/>
    <w:rsid w:val="20C22534"/>
    <w:rsid w:val="2100305C"/>
    <w:rsid w:val="210312EA"/>
    <w:rsid w:val="2149055F"/>
    <w:rsid w:val="21685B74"/>
    <w:rsid w:val="21696E53"/>
    <w:rsid w:val="21A954A2"/>
    <w:rsid w:val="21B225A8"/>
    <w:rsid w:val="21B35777"/>
    <w:rsid w:val="21BC51D5"/>
    <w:rsid w:val="21E32599"/>
    <w:rsid w:val="221548E5"/>
    <w:rsid w:val="2229410F"/>
    <w:rsid w:val="222D7AA8"/>
    <w:rsid w:val="22A0588F"/>
    <w:rsid w:val="22E13A73"/>
    <w:rsid w:val="23571659"/>
    <w:rsid w:val="235E710B"/>
    <w:rsid w:val="237318C3"/>
    <w:rsid w:val="2380670E"/>
    <w:rsid w:val="238E0DF3"/>
    <w:rsid w:val="23AE73B5"/>
    <w:rsid w:val="23D305B4"/>
    <w:rsid w:val="23DD7B4B"/>
    <w:rsid w:val="24374FE7"/>
    <w:rsid w:val="244119C2"/>
    <w:rsid w:val="24A106B2"/>
    <w:rsid w:val="24AB0BB6"/>
    <w:rsid w:val="24C678BF"/>
    <w:rsid w:val="25091801"/>
    <w:rsid w:val="25382808"/>
    <w:rsid w:val="254C3267"/>
    <w:rsid w:val="25627E42"/>
    <w:rsid w:val="25976431"/>
    <w:rsid w:val="25A95A70"/>
    <w:rsid w:val="25AF7E77"/>
    <w:rsid w:val="25B6156B"/>
    <w:rsid w:val="25FA4873"/>
    <w:rsid w:val="25FC126E"/>
    <w:rsid w:val="25FE55AF"/>
    <w:rsid w:val="26105BF6"/>
    <w:rsid w:val="26235823"/>
    <w:rsid w:val="26295151"/>
    <w:rsid w:val="262A1CE9"/>
    <w:rsid w:val="262D6219"/>
    <w:rsid w:val="26413EFB"/>
    <w:rsid w:val="26415CA9"/>
    <w:rsid w:val="2657371E"/>
    <w:rsid w:val="265C57B9"/>
    <w:rsid w:val="266F2816"/>
    <w:rsid w:val="266F6CBA"/>
    <w:rsid w:val="2677791D"/>
    <w:rsid w:val="26995AE5"/>
    <w:rsid w:val="26B446CD"/>
    <w:rsid w:val="26D96D67"/>
    <w:rsid w:val="26FB22FC"/>
    <w:rsid w:val="277216F6"/>
    <w:rsid w:val="27787DF0"/>
    <w:rsid w:val="2785411E"/>
    <w:rsid w:val="27912C60"/>
    <w:rsid w:val="27BB7548"/>
    <w:rsid w:val="27F154AD"/>
    <w:rsid w:val="27FC0774"/>
    <w:rsid w:val="28180DF2"/>
    <w:rsid w:val="285A2FB9"/>
    <w:rsid w:val="28B6105B"/>
    <w:rsid w:val="28F33BD2"/>
    <w:rsid w:val="28FE4325"/>
    <w:rsid w:val="295757E3"/>
    <w:rsid w:val="29643DAB"/>
    <w:rsid w:val="29656152"/>
    <w:rsid w:val="29BE34DD"/>
    <w:rsid w:val="29F15C38"/>
    <w:rsid w:val="29F30C3F"/>
    <w:rsid w:val="29F725EA"/>
    <w:rsid w:val="2A0C65CE"/>
    <w:rsid w:val="2A176174"/>
    <w:rsid w:val="2A21651D"/>
    <w:rsid w:val="2A9C5BA4"/>
    <w:rsid w:val="2AA2622C"/>
    <w:rsid w:val="2AA36F32"/>
    <w:rsid w:val="2AA47FFA"/>
    <w:rsid w:val="2AA71DD8"/>
    <w:rsid w:val="2AB12119"/>
    <w:rsid w:val="2ADC2444"/>
    <w:rsid w:val="2AE811CE"/>
    <w:rsid w:val="2AF90A31"/>
    <w:rsid w:val="2B1D0F25"/>
    <w:rsid w:val="2B263AFA"/>
    <w:rsid w:val="2B277B63"/>
    <w:rsid w:val="2B493861"/>
    <w:rsid w:val="2B4C581C"/>
    <w:rsid w:val="2B710DDE"/>
    <w:rsid w:val="2B7803BF"/>
    <w:rsid w:val="2B85488A"/>
    <w:rsid w:val="2B8925CC"/>
    <w:rsid w:val="2BB138D1"/>
    <w:rsid w:val="2BBD2276"/>
    <w:rsid w:val="2BC174EB"/>
    <w:rsid w:val="2BC71BD7"/>
    <w:rsid w:val="2BD977F1"/>
    <w:rsid w:val="2BE23417"/>
    <w:rsid w:val="2BEB6DE3"/>
    <w:rsid w:val="2C047EA4"/>
    <w:rsid w:val="2C284194"/>
    <w:rsid w:val="2C295275"/>
    <w:rsid w:val="2C493B09"/>
    <w:rsid w:val="2C532BDA"/>
    <w:rsid w:val="2C790273"/>
    <w:rsid w:val="2C7F4C87"/>
    <w:rsid w:val="2C950AFD"/>
    <w:rsid w:val="2CA91660"/>
    <w:rsid w:val="2CEC6A32"/>
    <w:rsid w:val="2CFF066C"/>
    <w:rsid w:val="2D39592C"/>
    <w:rsid w:val="2D6B4370"/>
    <w:rsid w:val="2D6F134E"/>
    <w:rsid w:val="2D83304B"/>
    <w:rsid w:val="2D8C0151"/>
    <w:rsid w:val="2DCB1752"/>
    <w:rsid w:val="2DEE2BBA"/>
    <w:rsid w:val="2DFD1F6F"/>
    <w:rsid w:val="2E312AA7"/>
    <w:rsid w:val="2E712FF2"/>
    <w:rsid w:val="2EBA484A"/>
    <w:rsid w:val="2EC1648D"/>
    <w:rsid w:val="2F1523C9"/>
    <w:rsid w:val="2F2229E0"/>
    <w:rsid w:val="2F3740ED"/>
    <w:rsid w:val="2F4D433F"/>
    <w:rsid w:val="2F7E17BA"/>
    <w:rsid w:val="2F964497"/>
    <w:rsid w:val="2FA774C5"/>
    <w:rsid w:val="2FD22C5E"/>
    <w:rsid w:val="2FED29FE"/>
    <w:rsid w:val="2FFB33A9"/>
    <w:rsid w:val="2FFD0E93"/>
    <w:rsid w:val="2FFF329B"/>
    <w:rsid w:val="30034BF4"/>
    <w:rsid w:val="303D5733"/>
    <w:rsid w:val="305E6DD7"/>
    <w:rsid w:val="30654C8A"/>
    <w:rsid w:val="30671365"/>
    <w:rsid w:val="306763A9"/>
    <w:rsid w:val="309D34BF"/>
    <w:rsid w:val="30A43A04"/>
    <w:rsid w:val="30D616E4"/>
    <w:rsid w:val="30E0586F"/>
    <w:rsid w:val="31122A9C"/>
    <w:rsid w:val="311C17EC"/>
    <w:rsid w:val="31210BB1"/>
    <w:rsid w:val="31451072"/>
    <w:rsid w:val="315A52DF"/>
    <w:rsid w:val="317A4765"/>
    <w:rsid w:val="318034BF"/>
    <w:rsid w:val="318B24CE"/>
    <w:rsid w:val="319770C5"/>
    <w:rsid w:val="31D153E4"/>
    <w:rsid w:val="31DC6C1F"/>
    <w:rsid w:val="31EA7A4D"/>
    <w:rsid w:val="321B2CCB"/>
    <w:rsid w:val="323112C7"/>
    <w:rsid w:val="324F79A0"/>
    <w:rsid w:val="32707E7E"/>
    <w:rsid w:val="327D275F"/>
    <w:rsid w:val="32B2226E"/>
    <w:rsid w:val="32BA306B"/>
    <w:rsid w:val="32BC3287"/>
    <w:rsid w:val="32D0288E"/>
    <w:rsid w:val="32E77BD8"/>
    <w:rsid w:val="32F802DE"/>
    <w:rsid w:val="32FD6E49"/>
    <w:rsid w:val="330E1609"/>
    <w:rsid w:val="33291F9F"/>
    <w:rsid w:val="333F1C0A"/>
    <w:rsid w:val="33462B51"/>
    <w:rsid w:val="33550FE6"/>
    <w:rsid w:val="33751688"/>
    <w:rsid w:val="33865D97"/>
    <w:rsid w:val="33CB702C"/>
    <w:rsid w:val="33E44895"/>
    <w:rsid w:val="33EA7980"/>
    <w:rsid w:val="33ED121E"/>
    <w:rsid w:val="340C3D9A"/>
    <w:rsid w:val="3411343C"/>
    <w:rsid w:val="345C68F5"/>
    <w:rsid w:val="346314E0"/>
    <w:rsid w:val="346C2A8B"/>
    <w:rsid w:val="347D25A2"/>
    <w:rsid w:val="349B58B1"/>
    <w:rsid w:val="34A9526C"/>
    <w:rsid w:val="34B52121"/>
    <w:rsid w:val="34DA79F4"/>
    <w:rsid w:val="351332EC"/>
    <w:rsid w:val="35193CB6"/>
    <w:rsid w:val="355C48AD"/>
    <w:rsid w:val="35655959"/>
    <w:rsid w:val="35795AD4"/>
    <w:rsid w:val="35A26038"/>
    <w:rsid w:val="35E829E8"/>
    <w:rsid w:val="363870C8"/>
    <w:rsid w:val="3640001A"/>
    <w:rsid w:val="36584431"/>
    <w:rsid w:val="368B15A9"/>
    <w:rsid w:val="36BA41E1"/>
    <w:rsid w:val="36E92171"/>
    <w:rsid w:val="36EC1865"/>
    <w:rsid w:val="37581E68"/>
    <w:rsid w:val="375A6BCB"/>
    <w:rsid w:val="376B527C"/>
    <w:rsid w:val="377262C2"/>
    <w:rsid w:val="37744601"/>
    <w:rsid w:val="378D6FA0"/>
    <w:rsid w:val="37A60062"/>
    <w:rsid w:val="37E0059B"/>
    <w:rsid w:val="3814146F"/>
    <w:rsid w:val="384A1A9E"/>
    <w:rsid w:val="3852029D"/>
    <w:rsid w:val="388D1222"/>
    <w:rsid w:val="38C279A1"/>
    <w:rsid w:val="38E54BBA"/>
    <w:rsid w:val="38E928FC"/>
    <w:rsid w:val="38F6396B"/>
    <w:rsid w:val="392B0029"/>
    <w:rsid w:val="39380104"/>
    <w:rsid w:val="39447B32"/>
    <w:rsid w:val="394538AA"/>
    <w:rsid w:val="39763A64"/>
    <w:rsid w:val="39935603"/>
    <w:rsid w:val="39A73B83"/>
    <w:rsid w:val="39C742BF"/>
    <w:rsid w:val="39C90037"/>
    <w:rsid w:val="39E44E71"/>
    <w:rsid w:val="39F71049"/>
    <w:rsid w:val="3A06128C"/>
    <w:rsid w:val="3A217E73"/>
    <w:rsid w:val="3A290BBD"/>
    <w:rsid w:val="3A400E50"/>
    <w:rsid w:val="3A7864A9"/>
    <w:rsid w:val="3A7B57D6"/>
    <w:rsid w:val="3AE507AF"/>
    <w:rsid w:val="3AF52563"/>
    <w:rsid w:val="3B131EB2"/>
    <w:rsid w:val="3B1A58C2"/>
    <w:rsid w:val="3B5D5F62"/>
    <w:rsid w:val="3B714E2B"/>
    <w:rsid w:val="3B9909D3"/>
    <w:rsid w:val="3B9D79CE"/>
    <w:rsid w:val="3BAA4BF6"/>
    <w:rsid w:val="3BC66F24"/>
    <w:rsid w:val="3BE95D3E"/>
    <w:rsid w:val="3BF4579E"/>
    <w:rsid w:val="3C3B0C4E"/>
    <w:rsid w:val="3C805325"/>
    <w:rsid w:val="3C813625"/>
    <w:rsid w:val="3C9A717E"/>
    <w:rsid w:val="3CC350C0"/>
    <w:rsid w:val="3CEE7F32"/>
    <w:rsid w:val="3D077128"/>
    <w:rsid w:val="3D2757A1"/>
    <w:rsid w:val="3D386A9C"/>
    <w:rsid w:val="3D475E43"/>
    <w:rsid w:val="3D595B76"/>
    <w:rsid w:val="3D7F314E"/>
    <w:rsid w:val="3D8E3A72"/>
    <w:rsid w:val="3D9435E6"/>
    <w:rsid w:val="3DB8230F"/>
    <w:rsid w:val="3DD67E7D"/>
    <w:rsid w:val="3E505081"/>
    <w:rsid w:val="3E5C591E"/>
    <w:rsid w:val="3E610497"/>
    <w:rsid w:val="3E846C23"/>
    <w:rsid w:val="3EE17798"/>
    <w:rsid w:val="3EFE0669"/>
    <w:rsid w:val="3F073ADC"/>
    <w:rsid w:val="3F0808F7"/>
    <w:rsid w:val="3F0E6D4A"/>
    <w:rsid w:val="3F406FEE"/>
    <w:rsid w:val="3FB672B0"/>
    <w:rsid w:val="3FFC5081"/>
    <w:rsid w:val="4010076E"/>
    <w:rsid w:val="401144E6"/>
    <w:rsid w:val="40BC2682"/>
    <w:rsid w:val="41776BB9"/>
    <w:rsid w:val="41A35612"/>
    <w:rsid w:val="41CA42D4"/>
    <w:rsid w:val="41DB4DAC"/>
    <w:rsid w:val="41E225DE"/>
    <w:rsid w:val="41FF4F3E"/>
    <w:rsid w:val="425979C4"/>
    <w:rsid w:val="427712F0"/>
    <w:rsid w:val="42A87384"/>
    <w:rsid w:val="42AE400D"/>
    <w:rsid w:val="42C6780A"/>
    <w:rsid w:val="42D01542"/>
    <w:rsid w:val="42EE1DAE"/>
    <w:rsid w:val="43301127"/>
    <w:rsid w:val="434411B0"/>
    <w:rsid w:val="43547FC2"/>
    <w:rsid w:val="436112E1"/>
    <w:rsid w:val="43642FC5"/>
    <w:rsid w:val="4383589C"/>
    <w:rsid w:val="43CA50D8"/>
    <w:rsid w:val="43FD725B"/>
    <w:rsid w:val="443D1D4E"/>
    <w:rsid w:val="446472DA"/>
    <w:rsid w:val="449162B7"/>
    <w:rsid w:val="44B6602D"/>
    <w:rsid w:val="44BD5FC0"/>
    <w:rsid w:val="44CC6C2E"/>
    <w:rsid w:val="45085EB8"/>
    <w:rsid w:val="450A1A16"/>
    <w:rsid w:val="456100E7"/>
    <w:rsid w:val="45B01B8A"/>
    <w:rsid w:val="45EE6CBF"/>
    <w:rsid w:val="45FA7D39"/>
    <w:rsid w:val="460864A9"/>
    <w:rsid w:val="46284338"/>
    <w:rsid w:val="46333E4D"/>
    <w:rsid w:val="46A16A41"/>
    <w:rsid w:val="46B03AF2"/>
    <w:rsid w:val="46D02A05"/>
    <w:rsid w:val="47137F28"/>
    <w:rsid w:val="48021C7E"/>
    <w:rsid w:val="480E5EDB"/>
    <w:rsid w:val="480F65B6"/>
    <w:rsid w:val="483B0352"/>
    <w:rsid w:val="483D0CC2"/>
    <w:rsid w:val="486F26F2"/>
    <w:rsid w:val="488A1985"/>
    <w:rsid w:val="489108BA"/>
    <w:rsid w:val="48BC18E5"/>
    <w:rsid w:val="48DD3AFF"/>
    <w:rsid w:val="48E474DA"/>
    <w:rsid w:val="49153B3D"/>
    <w:rsid w:val="493B1FE7"/>
    <w:rsid w:val="49430684"/>
    <w:rsid w:val="49496A9F"/>
    <w:rsid w:val="49584B4F"/>
    <w:rsid w:val="49A168DB"/>
    <w:rsid w:val="49B915B3"/>
    <w:rsid w:val="49C4418A"/>
    <w:rsid w:val="49FE3D2D"/>
    <w:rsid w:val="4A643F2C"/>
    <w:rsid w:val="4AAC19DB"/>
    <w:rsid w:val="4ABB577A"/>
    <w:rsid w:val="4AC202FD"/>
    <w:rsid w:val="4ACE1952"/>
    <w:rsid w:val="4B1433B9"/>
    <w:rsid w:val="4B35552D"/>
    <w:rsid w:val="4B5D248D"/>
    <w:rsid w:val="4B8B7843"/>
    <w:rsid w:val="4BC82845"/>
    <w:rsid w:val="4BD4454F"/>
    <w:rsid w:val="4BD96800"/>
    <w:rsid w:val="4BFC6B67"/>
    <w:rsid w:val="4C080BAB"/>
    <w:rsid w:val="4C466A0C"/>
    <w:rsid w:val="4C552648"/>
    <w:rsid w:val="4CB555CD"/>
    <w:rsid w:val="4CDF37BC"/>
    <w:rsid w:val="4CF54750"/>
    <w:rsid w:val="4D037E03"/>
    <w:rsid w:val="4D345FAC"/>
    <w:rsid w:val="4D4309A2"/>
    <w:rsid w:val="4D8C7FD1"/>
    <w:rsid w:val="4DAE5A6A"/>
    <w:rsid w:val="4DD32F6C"/>
    <w:rsid w:val="4DFA33AB"/>
    <w:rsid w:val="4E0336C0"/>
    <w:rsid w:val="4E583729"/>
    <w:rsid w:val="4E600B13"/>
    <w:rsid w:val="4E9B5FEF"/>
    <w:rsid w:val="4EA8070C"/>
    <w:rsid w:val="4EAD76A2"/>
    <w:rsid w:val="4EE2777A"/>
    <w:rsid w:val="4EE51018"/>
    <w:rsid w:val="4EF472C0"/>
    <w:rsid w:val="4F0A6CD0"/>
    <w:rsid w:val="4F1F3668"/>
    <w:rsid w:val="4F275AD4"/>
    <w:rsid w:val="4F2A2ECF"/>
    <w:rsid w:val="4F325A51"/>
    <w:rsid w:val="4F6B59C1"/>
    <w:rsid w:val="4FB87A0B"/>
    <w:rsid w:val="4FF27E90"/>
    <w:rsid w:val="50296BDF"/>
    <w:rsid w:val="50377F99"/>
    <w:rsid w:val="50381320"/>
    <w:rsid w:val="503A5393"/>
    <w:rsid w:val="503B2DE7"/>
    <w:rsid w:val="505C7A00"/>
    <w:rsid w:val="507865AC"/>
    <w:rsid w:val="509F02DE"/>
    <w:rsid w:val="50C00B2C"/>
    <w:rsid w:val="50E21CB3"/>
    <w:rsid w:val="50FD0914"/>
    <w:rsid w:val="51982049"/>
    <w:rsid w:val="51BD002A"/>
    <w:rsid w:val="51E013CB"/>
    <w:rsid w:val="51E11F6A"/>
    <w:rsid w:val="520619D1"/>
    <w:rsid w:val="522105B9"/>
    <w:rsid w:val="52484547"/>
    <w:rsid w:val="52554706"/>
    <w:rsid w:val="525B3A1B"/>
    <w:rsid w:val="528079D5"/>
    <w:rsid w:val="52E361B6"/>
    <w:rsid w:val="52EA6643"/>
    <w:rsid w:val="536015B5"/>
    <w:rsid w:val="53855B0D"/>
    <w:rsid w:val="53C563F8"/>
    <w:rsid w:val="53D855EF"/>
    <w:rsid w:val="54041F40"/>
    <w:rsid w:val="544C6CD4"/>
    <w:rsid w:val="547277F2"/>
    <w:rsid w:val="54C940CF"/>
    <w:rsid w:val="54E31D5B"/>
    <w:rsid w:val="55062FCC"/>
    <w:rsid w:val="55152E8F"/>
    <w:rsid w:val="551E6324"/>
    <w:rsid w:val="553C3269"/>
    <w:rsid w:val="55894DF3"/>
    <w:rsid w:val="55911EF9"/>
    <w:rsid w:val="55D41DE6"/>
    <w:rsid w:val="55E759E5"/>
    <w:rsid w:val="55F47F37"/>
    <w:rsid w:val="563E64B1"/>
    <w:rsid w:val="56463029"/>
    <w:rsid w:val="567D422C"/>
    <w:rsid w:val="56827197"/>
    <w:rsid w:val="56A63783"/>
    <w:rsid w:val="56DE32BC"/>
    <w:rsid w:val="56E04EE6"/>
    <w:rsid w:val="56F02C50"/>
    <w:rsid w:val="57323268"/>
    <w:rsid w:val="573A3ECB"/>
    <w:rsid w:val="573B76F4"/>
    <w:rsid w:val="57727F9A"/>
    <w:rsid w:val="57911D3D"/>
    <w:rsid w:val="57DD31D4"/>
    <w:rsid w:val="580E722E"/>
    <w:rsid w:val="581A7F84"/>
    <w:rsid w:val="582466A5"/>
    <w:rsid w:val="583B614D"/>
    <w:rsid w:val="584A70F2"/>
    <w:rsid w:val="58564D34"/>
    <w:rsid w:val="58871392"/>
    <w:rsid w:val="58B5085A"/>
    <w:rsid w:val="58C33C73"/>
    <w:rsid w:val="58DC1C5E"/>
    <w:rsid w:val="58F53C47"/>
    <w:rsid w:val="592077C9"/>
    <w:rsid w:val="593A72B7"/>
    <w:rsid w:val="59535E25"/>
    <w:rsid w:val="59540D18"/>
    <w:rsid w:val="59610318"/>
    <w:rsid w:val="59721167"/>
    <w:rsid w:val="59755387"/>
    <w:rsid w:val="59DF61A1"/>
    <w:rsid w:val="59EE055D"/>
    <w:rsid w:val="5A0031AA"/>
    <w:rsid w:val="5A1A626F"/>
    <w:rsid w:val="5A3479C2"/>
    <w:rsid w:val="5A755946"/>
    <w:rsid w:val="5A9A6F5B"/>
    <w:rsid w:val="5A9F6E67"/>
    <w:rsid w:val="5AA63D51"/>
    <w:rsid w:val="5AAD1584"/>
    <w:rsid w:val="5ABA79E1"/>
    <w:rsid w:val="5ADC59C5"/>
    <w:rsid w:val="5AF2343A"/>
    <w:rsid w:val="5B2A6CD2"/>
    <w:rsid w:val="5B421EF4"/>
    <w:rsid w:val="5B4D68C3"/>
    <w:rsid w:val="5B764EA5"/>
    <w:rsid w:val="5B9A20B4"/>
    <w:rsid w:val="5BB86C6F"/>
    <w:rsid w:val="5BD962F6"/>
    <w:rsid w:val="5BFA1F55"/>
    <w:rsid w:val="5C321615"/>
    <w:rsid w:val="5C512407"/>
    <w:rsid w:val="5C5D67F8"/>
    <w:rsid w:val="5C5F3937"/>
    <w:rsid w:val="5C6043D4"/>
    <w:rsid w:val="5C782A4B"/>
    <w:rsid w:val="5C8C09E8"/>
    <w:rsid w:val="5CAA564F"/>
    <w:rsid w:val="5CB70498"/>
    <w:rsid w:val="5D5C2DED"/>
    <w:rsid w:val="5D6F374B"/>
    <w:rsid w:val="5D79399F"/>
    <w:rsid w:val="5D7A2812"/>
    <w:rsid w:val="5D8B1347"/>
    <w:rsid w:val="5DD2339B"/>
    <w:rsid w:val="5DD33536"/>
    <w:rsid w:val="5DE13AAC"/>
    <w:rsid w:val="5E056B7D"/>
    <w:rsid w:val="5E1B1E50"/>
    <w:rsid w:val="5E3F5889"/>
    <w:rsid w:val="5E671A49"/>
    <w:rsid w:val="5ECA1FD8"/>
    <w:rsid w:val="5F007460"/>
    <w:rsid w:val="5F0B6879"/>
    <w:rsid w:val="5F0C439F"/>
    <w:rsid w:val="5F131BD1"/>
    <w:rsid w:val="5F225970"/>
    <w:rsid w:val="5F30008D"/>
    <w:rsid w:val="5F687F44"/>
    <w:rsid w:val="5F7563E8"/>
    <w:rsid w:val="5F9A5E4E"/>
    <w:rsid w:val="5FA64CE2"/>
    <w:rsid w:val="5FB23198"/>
    <w:rsid w:val="5FE6641C"/>
    <w:rsid w:val="60432042"/>
    <w:rsid w:val="6044448B"/>
    <w:rsid w:val="60940AF0"/>
    <w:rsid w:val="60C05441"/>
    <w:rsid w:val="60DA78D7"/>
    <w:rsid w:val="617269DD"/>
    <w:rsid w:val="617D3332"/>
    <w:rsid w:val="61A2285D"/>
    <w:rsid w:val="61B219C0"/>
    <w:rsid w:val="61C15914"/>
    <w:rsid w:val="620B4DE2"/>
    <w:rsid w:val="62126170"/>
    <w:rsid w:val="622276E9"/>
    <w:rsid w:val="6232236E"/>
    <w:rsid w:val="624520A2"/>
    <w:rsid w:val="625978FB"/>
    <w:rsid w:val="625A135C"/>
    <w:rsid w:val="62782477"/>
    <w:rsid w:val="627B3F21"/>
    <w:rsid w:val="627D4216"/>
    <w:rsid w:val="62AF71FF"/>
    <w:rsid w:val="62B965EC"/>
    <w:rsid w:val="62D73DAE"/>
    <w:rsid w:val="62E80C7F"/>
    <w:rsid w:val="63047494"/>
    <w:rsid w:val="6315416A"/>
    <w:rsid w:val="63322DE0"/>
    <w:rsid w:val="633D24E2"/>
    <w:rsid w:val="636522D0"/>
    <w:rsid w:val="63B15515"/>
    <w:rsid w:val="63BC794A"/>
    <w:rsid w:val="640E6849"/>
    <w:rsid w:val="643704B8"/>
    <w:rsid w:val="64494EB1"/>
    <w:rsid w:val="645E38EF"/>
    <w:rsid w:val="645F67A9"/>
    <w:rsid w:val="649E3CEB"/>
    <w:rsid w:val="64A51BE8"/>
    <w:rsid w:val="64D911C7"/>
    <w:rsid w:val="65444892"/>
    <w:rsid w:val="656C0917"/>
    <w:rsid w:val="65A76BCF"/>
    <w:rsid w:val="65B6408F"/>
    <w:rsid w:val="66604C11"/>
    <w:rsid w:val="66646C33"/>
    <w:rsid w:val="66A31404"/>
    <w:rsid w:val="672524A2"/>
    <w:rsid w:val="67BD6C61"/>
    <w:rsid w:val="67C577E1"/>
    <w:rsid w:val="67CB3CF9"/>
    <w:rsid w:val="67D30150"/>
    <w:rsid w:val="68006515"/>
    <w:rsid w:val="680C2F7D"/>
    <w:rsid w:val="682131A6"/>
    <w:rsid w:val="684D1CB0"/>
    <w:rsid w:val="685A261F"/>
    <w:rsid w:val="687E455F"/>
    <w:rsid w:val="68C048E1"/>
    <w:rsid w:val="68C47916"/>
    <w:rsid w:val="68E5400D"/>
    <w:rsid w:val="68EA0CF3"/>
    <w:rsid w:val="69054DE7"/>
    <w:rsid w:val="6922313D"/>
    <w:rsid w:val="695B03FD"/>
    <w:rsid w:val="696853F2"/>
    <w:rsid w:val="696E1640"/>
    <w:rsid w:val="697B0298"/>
    <w:rsid w:val="69865968"/>
    <w:rsid w:val="69905717"/>
    <w:rsid w:val="69A71894"/>
    <w:rsid w:val="69A877A2"/>
    <w:rsid w:val="6A1707C7"/>
    <w:rsid w:val="6A1E618D"/>
    <w:rsid w:val="6A1F58CE"/>
    <w:rsid w:val="6A2034E9"/>
    <w:rsid w:val="6A266C5C"/>
    <w:rsid w:val="6A8236D8"/>
    <w:rsid w:val="6AF64881"/>
    <w:rsid w:val="6B6077E9"/>
    <w:rsid w:val="6B87372B"/>
    <w:rsid w:val="6B923E7E"/>
    <w:rsid w:val="6BCC3834"/>
    <w:rsid w:val="6BF679A6"/>
    <w:rsid w:val="6C180827"/>
    <w:rsid w:val="6C2C42D2"/>
    <w:rsid w:val="6C6E0447"/>
    <w:rsid w:val="6C9E6F7E"/>
    <w:rsid w:val="6CE10140"/>
    <w:rsid w:val="6D012434"/>
    <w:rsid w:val="6D0D1A0E"/>
    <w:rsid w:val="6D140FEE"/>
    <w:rsid w:val="6D2E52DB"/>
    <w:rsid w:val="6D2F7BD6"/>
    <w:rsid w:val="6D802D43"/>
    <w:rsid w:val="6DAE1443"/>
    <w:rsid w:val="6DC541CC"/>
    <w:rsid w:val="6DFF6C4B"/>
    <w:rsid w:val="6E096679"/>
    <w:rsid w:val="6E0A23F1"/>
    <w:rsid w:val="6E316942"/>
    <w:rsid w:val="6E6B786E"/>
    <w:rsid w:val="6E865505"/>
    <w:rsid w:val="6EA0512F"/>
    <w:rsid w:val="6EA75B5C"/>
    <w:rsid w:val="6F354ACE"/>
    <w:rsid w:val="6F4638FD"/>
    <w:rsid w:val="6F5E17FF"/>
    <w:rsid w:val="6F6B0854"/>
    <w:rsid w:val="6F875056"/>
    <w:rsid w:val="6F936CBF"/>
    <w:rsid w:val="6F947572"/>
    <w:rsid w:val="6FA523D2"/>
    <w:rsid w:val="6FB76142"/>
    <w:rsid w:val="7012702E"/>
    <w:rsid w:val="701663CD"/>
    <w:rsid w:val="70612A59"/>
    <w:rsid w:val="708B1337"/>
    <w:rsid w:val="709F5073"/>
    <w:rsid w:val="70CF74E9"/>
    <w:rsid w:val="70E37655"/>
    <w:rsid w:val="70E62394"/>
    <w:rsid w:val="710116D7"/>
    <w:rsid w:val="71307E09"/>
    <w:rsid w:val="714E1B91"/>
    <w:rsid w:val="71544DFA"/>
    <w:rsid w:val="71975B6E"/>
    <w:rsid w:val="71AB4B40"/>
    <w:rsid w:val="71BF1650"/>
    <w:rsid w:val="71CB1E97"/>
    <w:rsid w:val="71D074AE"/>
    <w:rsid w:val="71D20744"/>
    <w:rsid w:val="71DE1C78"/>
    <w:rsid w:val="722F0678"/>
    <w:rsid w:val="723839D1"/>
    <w:rsid w:val="726245AA"/>
    <w:rsid w:val="730D2FC3"/>
    <w:rsid w:val="73131738"/>
    <w:rsid w:val="73143E4E"/>
    <w:rsid w:val="73540D2A"/>
    <w:rsid w:val="73893DB8"/>
    <w:rsid w:val="73DD36A2"/>
    <w:rsid w:val="741D2E99"/>
    <w:rsid w:val="74405325"/>
    <w:rsid w:val="74493C73"/>
    <w:rsid w:val="744A3547"/>
    <w:rsid w:val="744A79EB"/>
    <w:rsid w:val="74624D35"/>
    <w:rsid w:val="746C1710"/>
    <w:rsid w:val="74A215D5"/>
    <w:rsid w:val="74FE3FC4"/>
    <w:rsid w:val="7514376E"/>
    <w:rsid w:val="753C37D8"/>
    <w:rsid w:val="75993063"/>
    <w:rsid w:val="75BB5B5E"/>
    <w:rsid w:val="75D532E5"/>
    <w:rsid w:val="75D92DD5"/>
    <w:rsid w:val="75EF707F"/>
    <w:rsid w:val="75F75B30"/>
    <w:rsid w:val="76034A51"/>
    <w:rsid w:val="7620112B"/>
    <w:rsid w:val="7621332B"/>
    <w:rsid w:val="763D3D03"/>
    <w:rsid w:val="76497FF0"/>
    <w:rsid w:val="766034F6"/>
    <w:rsid w:val="766D79C1"/>
    <w:rsid w:val="76D129C3"/>
    <w:rsid w:val="770E4D00"/>
    <w:rsid w:val="771274F4"/>
    <w:rsid w:val="775841CD"/>
    <w:rsid w:val="778C786C"/>
    <w:rsid w:val="778D20C9"/>
    <w:rsid w:val="77BB0B73"/>
    <w:rsid w:val="77F739E6"/>
    <w:rsid w:val="7814491C"/>
    <w:rsid w:val="78337359"/>
    <w:rsid w:val="784E60AD"/>
    <w:rsid w:val="786F5C73"/>
    <w:rsid w:val="78A278C6"/>
    <w:rsid w:val="78AF42C1"/>
    <w:rsid w:val="78B2790D"/>
    <w:rsid w:val="78BD69DE"/>
    <w:rsid w:val="79646BF2"/>
    <w:rsid w:val="797123F0"/>
    <w:rsid w:val="79746AB2"/>
    <w:rsid w:val="798412AA"/>
    <w:rsid w:val="7990722A"/>
    <w:rsid w:val="799734E7"/>
    <w:rsid w:val="799B38CA"/>
    <w:rsid w:val="79BC0E24"/>
    <w:rsid w:val="79F503F9"/>
    <w:rsid w:val="79FC7092"/>
    <w:rsid w:val="7A0B5527"/>
    <w:rsid w:val="7A0D5743"/>
    <w:rsid w:val="7A252A8D"/>
    <w:rsid w:val="7A7E3F4B"/>
    <w:rsid w:val="7A8A6D94"/>
    <w:rsid w:val="7ACC115A"/>
    <w:rsid w:val="7AD46261"/>
    <w:rsid w:val="7AE87D52"/>
    <w:rsid w:val="7B340B97"/>
    <w:rsid w:val="7B3A5D4A"/>
    <w:rsid w:val="7B702B97"/>
    <w:rsid w:val="7B711141"/>
    <w:rsid w:val="7BBA662E"/>
    <w:rsid w:val="7BC92361"/>
    <w:rsid w:val="7BF63150"/>
    <w:rsid w:val="7BF91FA4"/>
    <w:rsid w:val="7C41300E"/>
    <w:rsid w:val="7C4E23D2"/>
    <w:rsid w:val="7C586283"/>
    <w:rsid w:val="7C59560C"/>
    <w:rsid w:val="7CA0289E"/>
    <w:rsid w:val="7CC3658D"/>
    <w:rsid w:val="7CC540B3"/>
    <w:rsid w:val="7CCA3CA0"/>
    <w:rsid w:val="7CCD4D16"/>
    <w:rsid w:val="7CEB68F6"/>
    <w:rsid w:val="7CFC6398"/>
    <w:rsid w:val="7D2B2BD6"/>
    <w:rsid w:val="7D4A280A"/>
    <w:rsid w:val="7D7B6E68"/>
    <w:rsid w:val="7D85052A"/>
    <w:rsid w:val="7D8E2EFF"/>
    <w:rsid w:val="7E0E3838"/>
    <w:rsid w:val="7E226105"/>
    <w:rsid w:val="7E492AC2"/>
    <w:rsid w:val="7E9B483F"/>
    <w:rsid w:val="7EC23B42"/>
    <w:rsid w:val="7EC75FC6"/>
    <w:rsid w:val="7ED56104"/>
    <w:rsid w:val="7EDD6E2A"/>
    <w:rsid w:val="7F375AEC"/>
    <w:rsid w:val="7F4561D6"/>
    <w:rsid w:val="7F4C4618"/>
    <w:rsid w:val="7F572FBC"/>
    <w:rsid w:val="7F82628B"/>
    <w:rsid w:val="7FA42277"/>
    <w:rsid w:val="7FDD3AC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70"/>
    <w:qFormat/>
    <w:uiPriority w:val="0"/>
    <w:pPr>
      <w:keepNext/>
      <w:keepLines/>
      <w:spacing w:before="340" w:after="330" w:line="578" w:lineRule="auto"/>
      <w:jc w:val="center"/>
      <w:outlineLvl w:val="0"/>
    </w:pPr>
    <w:rPr>
      <w:rFonts w:ascii="Times New Roman" w:hAnsi="Times New Roman" w:eastAsia="宋体"/>
      <w:b/>
      <w:bCs/>
      <w:kern w:val="44"/>
      <w:sz w:val="36"/>
      <w:szCs w:val="44"/>
      <w:lang w:eastAsia="en-US"/>
    </w:rPr>
  </w:style>
  <w:style w:type="paragraph" w:styleId="4">
    <w:name w:val="heading 2"/>
    <w:basedOn w:val="1"/>
    <w:next w:val="1"/>
    <w:link w:val="89"/>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103"/>
    <w:qFormat/>
    <w:uiPriority w:val="9"/>
    <w:pPr>
      <w:keepNext/>
      <w:keepLines/>
      <w:spacing w:before="260" w:after="260" w:line="416" w:lineRule="auto"/>
      <w:outlineLvl w:val="2"/>
    </w:pPr>
    <w:rPr>
      <w:rFonts w:eastAsia="宋体"/>
      <w:b/>
      <w:bCs/>
      <w:sz w:val="32"/>
      <w:szCs w:val="32"/>
    </w:rPr>
  </w:style>
  <w:style w:type="paragraph" w:styleId="6">
    <w:name w:val="heading 4"/>
    <w:basedOn w:val="1"/>
    <w:next w:val="1"/>
    <w:link w:val="71"/>
    <w:qFormat/>
    <w:uiPriority w:val="0"/>
    <w:pPr>
      <w:keepNext/>
      <w:keepLines/>
      <w:spacing w:before="280" w:after="290" w:line="376" w:lineRule="auto"/>
      <w:outlineLvl w:val="3"/>
    </w:pPr>
    <w:rPr>
      <w:rFonts w:ascii="Cambria" w:hAnsi="Cambria" w:eastAsia="宋体"/>
      <w:b/>
      <w:bCs/>
      <w:sz w:val="28"/>
      <w:szCs w:val="28"/>
    </w:rPr>
  </w:style>
  <w:style w:type="paragraph" w:styleId="7">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41">
    <w:name w:val="Default Paragraph Font"/>
    <w:qFormat/>
    <w:uiPriority w:val="0"/>
    <w:rPr>
      <w:rFonts w:ascii="等线" w:hAnsi="等线" w:eastAsia="等线" w:cs="Times New Roman"/>
    </w:rPr>
  </w:style>
  <w:style w:type="table" w:default="1" w:styleId="39">
    <w:name w:val="Normal Table"/>
    <w:qFormat/>
    <w:uiPriority w:val="0"/>
    <w:rPr>
      <w:rFonts w:ascii="等线" w:hAnsi="等线" w:eastAsia="等线" w:cs="Times New Roman"/>
    </w:rPr>
    <w:tblPr>
      <w:tblCellMar>
        <w:top w:w="0" w:type="dxa"/>
        <w:left w:w="108" w:type="dxa"/>
        <w:bottom w:w="0" w:type="dxa"/>
        <w:right w:w="108" w:type="dxa"/>
      </w:tblCellMar>
    </w:tblPr>
  </w:style>
  <w:style w:type="paragraph" w:customStyle="1" w:styleId="2">
    <w:name w:val="无间隔1"/>
    <w:qFormat/>
    <w:uiPriority w:val="0"/>
    <w:pPr>
      <w:widowControl w:val="0"/>
    </w:pPr>
    <w:rPr>
      <w:rFonts w:ascii="Times New Roman" w:hAnsi="Times New Roman" w:eastAsia="宋体" w:cs="Times New Roman"/>
      <w:sz w:val="22"/>
      <w:szCs w:val="22"/>
      <w:lang w:val="en-US" w:eastAsia="en-US" w:bidi="ar-SA"/>
    </w:rPr>
  </w:style>
  <w:style w:type="paragraph" w:styleId="8">
    <w:name w:val="toc 7"/>
    <w:basedOn w:val="1"/>
    <w:next w:val="1"/>
    <w:unhideWhenUsed/>
    <w:qFormat/>
    <w:uiPriority w:val="39"/>
    <w:pPr>
      <w:ind w:left="2520" w:leftChars="1200"/>
    </w:pPr>
    <w:rPr>
      <w:rFonts w:ascii="Calibri" w:hAnsi="Calibri" w:eastAsia="宋体" w:cs="Times New Roman"/>
    </w:rPr>
  </w:style>
  <w:style w:type="paragraph" w:styleId="9">
    <w:name w:val="Normal Indent"/>
    <w:basedOn w:val="1"/>
    <w:qFormat/>
    <w:uiPriority w:val="0"/>
    <w:pPr>
      <w:widowControl/>
      <w:autoSpaceDE w:val="0"/>
      <w:autoSpaceDN w:val="0"/>
      <w:adjustRightInd w:val="0"/>
      <w:spacing w:before="100" w:after="50" w:line="360" w:lineRule="auto"/>
      <w:ind w:firstLine="420" w:firstLineChars="200"/>
      <w:jc w:val="left"/>
    </w:pPr>
    <w:rPr>
      <w:rFonts w:ascii="CG Times" w:hAnsi="CG Times" w:eastAsia="等线" w:cs="Times New Roman"/>
      <w:kern w:val="0"/>
      <w:sz w:val="24"/>
      <w:szCs w:val="20"/>
    </w:rPr>
  </w:style>
  <w:style w:type="paragraph" w:styleId="10">
    <w:name w:val="Document Map"/>
    <w:basedOn w:val="1"/>
    <w:link w:val="113"/>
    <w:qFormat/>
    <w:uiPriority w:val="0"/>
    <w:rPr>
      <w:rFonts w:ascii="宋体" w:eastAsia="宋体"/>
      <w:sz w:val="18"/>
      <w:szCs w:val="18"/>
    </w:rPr>
  </w:style>
  <w:style w:type="paragraph" w:styleId="11">
    <w:name w:val="toa heading"/>
    <w:basedOn w:val="1"/>
    <w:next w:val="1"/>
    <w:qFormat/>
    <w:uiPriority w:val="0"/>
    <w:pPr>
      <w:spacing w:before="120"/>
    </w:pPr>
    <w:rPr>
      <w:rFonts w:ascii="Arial" w:hAnsi="Arial"/>
      <w:sz w:val="24"/>
    </w:rPr>
  </w:style>
  <w:style w:type="paragraph" w:styleId="12">
    <w:name w:val="annotation text"/>
    <w:basedOn w:val="1"/>
    <w:link w:val="121"/>
    <w:qFormat/>
    <w:uiPriority w:val="99"/>
    <w:pPr>
      <w:jc w:val="left"/>
    </w:pPr>
    <w:rPr>
      <w:rFonts w:eastAsia="宋体"/>
    </w:rPr>
  </w:style>
  <w:style w:type="paragraph" w:styleId="13">
    <w:name w:val="Body Text 3"/>
    <w:basedOn w:val="1"/>
    <w:link w:val="112"/>
    <w:qFormat/>
    <w:uiPriority w:val="0"/>
    <w:pPr>
      <w:spacing w:after="120"/>
    </w:pPr>
    <w:rPr>
      <w:rFonts w:eastAsia="宋体"/>
      <w:sz w:val="16"/>
      <w:szCs w:val="16"/>
    </w:rPr>
  </w:style>
  <w:style w:type="paragraph" w:styleId="14">
    <w:name w:val="Body Text"/>
    <w:basedOn w:val="1"/>
    <w:next w:val="15"/>
    <w:link w:val="98"/>
    <w:qFormat/>
    <w:uiPriority w:val="0"/>
    <w:pPr>
      <w:spacing w:after="120"/>
    </w:pPr>
    <w:rPr>
      <w:rFonts w:ascii="Times New Roman" w:hAnsi="Times New Roman" w:eastAsia="宋体"/>
      <w:szCs w:val="24"/>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kern w:val="2"/>
      <w:sz w:val="24"/>
      <w:szCs w:val="24"/>
      <w:lang w:val="en-US" w:eastAsia="zh-CN" w:bidi="ar-SA"/>
    </w:rPr>
  </w:style>
  <w:style w:type="paragraph" w:styleId="16">
    <w:name w:val="Body Text Indent"/>
    <w:basedOn w:val="1"/>
    <w:link w:val="93"/>
    <w:qFormat/>
    <w:uiPriority w:val="0"/>
    <w:pPr>
      <w:ind w:left="360" w:firstLine="56" w:firstLineChars="20"/>
    </w:pPr>
    <w:rPr>
      <w:rFonts w:ascii="等线" w:hAnsi="等线" w:eastAsia="仿宋_GB2312"/>
      <w:kern w:val="0"/>
      <w:sz w:val="32"/>
      <w:szCs w:val="24"/>
    </w:rPr>
  </w:style>
  <w:style w:type="paragraph" w:styleId="17">
    <w:name w:val="Block Text"/>
    <w:basedOn w:val="1"/>
    <w:qFormat/>
    <w:uiPriority w:val="0"/>
    <w:pPr>
      <w:spacing w:after="120"/>
      <w:ind w:left="1440" w:leftChars="700" w:right="1440" w:rightChars="700"/>
    </w:pPr>
    <w:rPr>
      <w:rFonts w:ascii="等线" w:hAnsi="等线" w:eastAsia="等线" w:cs="Times New Roman"/>
    </w:rPr>
  </w:style>
  <w:style w:type="paragraph" w:styleId="18">
    <w:name w:val="toc 5"/>
    <w:basedOn w:val="1"/>
    <w:next w:val="1"/>
    <w:unhideWhenUsed/>
    <w:qFormat/>
    <w:uiPriority w:val="39"/>
    <w:pPr>
      <w:ind w:left="1680" w:leftChars="800"/>
    </w:pPr>
    <w:rPr>
      <w:rFonts w:ascii="Calibri" w:hAnsi="Calibri" w:eastAsia="宋体" w:cs="Times New Roman"/>
    </w:rPr>
  </w:style>
  <w:style w:type="paragraph" w:styleId="19">
    <w:name w:val="toc 3"/>
    <w:basedOn w:val="1"/>
    <w:next w:val="1"/>
    <w:qFormat/>
    <w:uiPriority w:val="39"/>
    <w:pPr>
      <w:spacing w:line="340" w:lineRule="exact"/>
      <w:ind w:left="400" w:leftChars="400"/>
    </w:pPr>
    <w:rPr>
      <w:rFonts w:ascii="等线" w:hAnsi="等线" w:eastAsia="等线" w:cs="Times New Roman"/>
    </w:rPr>
  </w:style>
  <w:style w:type="paragraph" w:styleId="20">
    <w:name w:val="Plain Text"/>
    <w:basedOn w:val="1"/>
    <w:link w:val="75"/>
    <w:qFormat/>
    <w:uiPriority w:val="0"/>
    <w:rPr>
      <w:rFonts w:ascii="宋体" w:hAnsi="Courier New" w:eastAsia="宋体"/>
      <w:szCs w:val="21"/>
    </w:rPr>
  </w:style>
  <w:style w:type="paragraph" w:styleId="21">
    <w:name w:val="toc 8"/>
    <w:basedOn w:val="1"/>
    <w:next w:val="1"/>
    <w:unhideWhenUsed/>
    <w:qFormat/>
    <w:uiPriority w:val="39"/>
    <w:pPr>
      <w:ind w:left="2940" w:leftChars="1400"/>
    </w:pPr>
    <w:rPr>
      <w:rFonts w:ascii="Calibri" w:hAnsi="Calibri" w:eastAsia="宋体" w:cs="Times New Roman"/>
    </w:rPr>
  </w:style>
  <w:style w:type="paragraph" w:styleId="22">
    <w:name w:val="Date"/>
    <w:basedOn w:val="1"/>
    <w:next w:val="1"/>
    <w:link w:val="51"/>
    <w:qFormat/>
    <w:uiPriority w:val="0"/>
    <w:pPr>
      <w:ind w:left="100" w:leftChars="2500"/>
    </w:pPr>
    <w:rPr>
      <w:rFonts w:eastAsia="宋体"/>
    </w:rPr>
  </w:style>
  <w:style w:type="paragraph" w:styleId="23">
    <w:name w:val="Body Text Indent 2"/>
    <w:basedOn w:val="1"/>
    <w:link w:val="99"/>
    <w:qFormat/>
    <w:uiPriority w:val="0"/>
    <w:pPr>
      <w:spacing w:line="360" w:lineRule="auto"/>
      <w:ind w:firstLine="420" w:firstLineChars="200"/>
    </w:pPr>
    <w:rPr>
      <w:rFonts w:ascii="宋体" w:eastAsia="宋体"/>
      <w:kern w:val="0"/>
      <w:sz w:val="24"/>
      <w:szCs w:val="20"/>
    </w:rPr>
  </w:style>
  <w:style w:type="paragraph" w:styleId="24">
    <w:name w:val="Balloon Text"/>
    <w:basedOn w:val="1"/>
    <w:link w:val="56"/>
    <w:qFormat/>
    <w:uiPriority w:val="0"/>
    <w:rPr>
      <w:rFonts w:eastAsia="宋体"/>
      <w:sz w:val="18"/>
      <w:szCs w:val="18"/>
    </w:rPr>
  </w:style>
  <w:style w:type="paragraph" w:styleId="25">
    <w:name w:val="footer"/>
    <w:basedOn w:val="1"/>
    <w:link w:val="137"/>
    <w:qFormat/>
    <w:uiPriority w:val="99"/>
    <w:pPr>
      <w:tabs>
        <w:tab w:val="center" w:pos="4153"/>
        <w:tab w:val="right" w:pos="8306"/>
      </w:tabs>
      <w:snapToGrid w:val="0"/>
      <w:jc w:val="left"/>
    </w:pPr>
    <w:rPr>
      <w:rFonts w:eastAsia="宋体"/>
      <w:sz w:val="18"/>
      <w:szCs w:val="18"/>
    </w:rPr>
  </w:style>
  <w:style w:type="paragraph" w:styleId="26">
    <w:name w:val="header"/>
    <w:basedOn w:val="1"/>
    <w:link w:val="63"/>
    <w:qFormat/>
    <w:uiPriority w:val="99"/>
    <w:pPr>
      <w:pBdr>
        <w:bottom w:val="single" w:color="auto" w:sz="6" w:space="1"/>
      </w:pBdr>
      <w:tabs>
        <w:tab w:val="center" w:pos="4153"/>
        <w:tab w:val="right" w:pos="8306"/>
      </w:tabs>
      <w:snapToGrid w:val="0"/>
      <w:jc w:val="center"/>
    </w:pPr>
    <w:rPr>
      <w:rFonts w:eastAsia="宋体"/>
      <w:sz w:val="18"/>
      <w:szCs w:val="18"/>
    </w:rPr>
  </w:style>
  <w:style w:type="paragraph" w:styleId="27">
    <w:name w:val="toc 1"/>
    <w:basedOn w:val="1"/>
    <w:next w:val="1"/>
    <w:qFormat/>
    <w:uiPriority w:val="39"/>
    <w:pPr>
      <w:spacing w:line="340" w:lineRule="exact"/>
    </w:pPr>
    <w:rPr>
      <w:rFonts w:ascii="等线" w:hAnsi="等线" w:eastAsia="等线" w:cs="Times New Roman"/>
    </w:rPr>
  </w:style>
  <w:style w:type="paragraph" w:styleId="28">
    <w:name w:val="toc 4"/>
    <w:basedOn w:val="1"/>
    <w:next w:val="1"/>
    <w:unhideWhenUsed/>
    <w:qFormat/>
    <w:uiPriority w:val="39"/>
    <w:pPr>
      <w:ind w:left="1260" w:leftChars="600"/>
    </w:pPr>
    <w:rPr>
      <w:rFonts w:ascii="Calibri" w:hAnsi="Calibri" w:eastAsia="宋体" w:cs="Times New Roman"/>
    </w:rPr>
  </w:style>
  <w:style w:type="paragraph" w:styleId="29">
    <w:name w:val="footnote text"/>
    <w:basedOn w:val="1"/>
    <w:link w:val="68"/>
    <w:qFormat/>
    <w:uiPriority w:val="0"/>
    <w:pPr>
      <w:snapToGrid w:val="0"/>
      <w:jc w:val="left"/>
    </w:pPr>
    <w:rPr>
      <w:rFonts w:eastAsia="宋体"/>
      <w:sz w:val="18"/>
      <w:szCs w:val="18"/>
    </w:rPr>
  </w:style>
  <w:style w:type="paragraph" w:styleId="30">
    <w:name w:val="toc 6"/>
    <w:basedOn w:val="1"/>
    <w:next w:val="1"/>
    <w:unhideWhenUsed/>
    <w:qFormat/>
    <w:uiPriority w:val="39"/>
    <w:pPr>
      <w:ind w:left="2100" w:leftChars="1000"/>
    </w:pPr>
    <w:rPr>
      <w:rFonts w:ascii="Calibri" w:hAnsi="Calibri" w:eastAsia="宋体" w:cs="Times New Roman"/>
    </w:rPr>
  </w:style>
  <w:style w:type="paragraph" w:styleId="31">
    <w:name w:val="Body Text Indent 3"/>
    <w:basedOn w:val="1"/>
    <w:link w:val="104"/>
    <w:qFormat/>
    <w:uiPriority w:val="0"/>
    <w:pPr>
      <w:ind w:firstLine="645"/>
    </w:pPr>
    <w:rPr>
      <w:rFonts w:ascii="仿宋_GB2312" w:eastAsia="仿宋_GB2312"/>
      <w:sz w:val="32"/>
    </w:rPr>
  </w:style>
  <w:style w:type="paragraph" w:styleId="32">
    <w:name w:val="toc 2"/>
    <w:basedOn w:val="1"/>
    <w:next w:val="1"/>
    <w:qFormat/>
    <w:uiPriority w:val="39"/>
    <w:pPr>
      <w:tabs>
        <w:tab w:val="right" w:leader="middleDot" w:pos="9060"/>
      </w:tabs>
      <w:spacing w:line="340" w:lineRule="exact"/>
      <w:ind w:left="200" w:leftChars="200"/>
    </w:pPr>
    <w:rPr>
      <w:rFonts w:ascii="等线" w:hAnsi="等线" w:eastAsia="等线" w:cs="Times New Roman"/>
    </w:rPr>
  </w:style>
  <w:style w:type="paragraph" w:styleId="33">
    <w:name w:val="toc 9"/>
    <w:basedOn w:val="1"/>
    <w:next w:val="1"/>
    <w:unhideWhenUsed/>
    <w:qFormat/>
    <w:uiPriority w:val="39"/>
    <w:pPr>
      <w:ind w:left="3360" w:leftChars="1600"/>
    </w:pPr>
    <w:rPr>
      <w:rFonts w:ascii="Calibri" w:hAnsi="Calibri" w:eastAsia="宋体" w:cs="Times New Roman"/>
    </w:rPr>
  </w:style>
  <w:style w:type="paragraph" w:styleId="34">
    <w:name w:val="HTML Preformatted"/>
    <w:basedOn w:val="1"/>
    <w:link w:val="73"/>
    <w:qFormat/>
    <w:uiPriority w:val="0"/>
    <w:pPr>
      <w:spacing w:line="360" w:lineRule="auto"/>
      <w:ind w:firstLine="482" w:firstLineChars="200"/>
      <w:jc w:val="left"/>
    </w:pPr>
    <w:rPr>
      <w:rFonts w:ascii="宋体" w:hAnsi="宋体" w:eastAsia="等线"/>
      <w:kern w:val="0"/>
      <w:sz w:val="24"/>
      <w:szCs w:val="24"/>
    </w:rPr>
  </w:style>
  <w:style w:type="paragraph" w:styleId="35">
    <w:name w:val="Normal (Web)"/>
    <w:basedOn w:val="1"/>
    <w:qFormat/>
    <w:uiPriority w:val="99"/>
    <w:pPr>
      <w:widowControl/>
      <w:spacing w:before="100" w:beforeAutospacing="1" w:after="100" w:afterAutospacing="1"/>
      <w:jc w:val="left"/>
    </w:pPr>
    <w:rPr>
      <w:rFonts w:ascii="宋体" w:hAnsi="宋体"/>
      <w:kern w:val="0"/>
      <w:sz w:val="24"/>
    </w:rPr>
  </w:style>
  <w:style w:type="paragraph" w:styleId="36">
    <w:name w:val="Title"/>
    <w:basedOn w:val="1"/>
    <w:link w:val="110"/>
    <w:qFormat/>
    <w:uiPriority w:val="0"/>
    <w:pPr>
      <w:spacing w:before="240" w:after="60"/>
      <w:jc w:val="center"/>
      <w:outlineLvl w:val="0"/>
    </w:pPr>
    <w:rPr>
      <w:rFonts w:ascii="Arial" w:hAnsi="Arial"/>
      <w:b/>
      <w:bCs/>
      <w:sz w:val="32"/>
      <w:szCs w:val="32"/>
    </w:rPr>
  </w:style>
  <w:style w:type="paragraph" w:styleId="37">
    <w:name w:val="annotation subject"/>
    <w:basedOn w:val="12"/>
    <w:next w:val="12"/>
    <w:link w:val="81"/>
    <w:qFormat/>
    <w:uiPriority w:val="0"/>
    <w:rPr>
      <w:rFonts w:hAnsi="等线"/>
      <w:b/>
      <w:kern w:val="0"/>
      <w:sz w:val="32"/>
      <w:szCs w:val="20"/>
      <w:lang w:val="en-US" w:eastAsia="zh-CN"/>
    </w:rPr>
  </w:style>
  <w:style w:type="paragraph" w:styleId="38">
    <w:name w:val="Body Text First Indent 2"/>
    <w:basedOn w:val="16"/>
    <w:next w:val="1"/>
    <w:qFormat/>
    <w:uiPriority w:val="0"/>
    <w:pPr>
      <w:ind w:left="0" w:firstLine="420"/>
    </w:pPr>
    <w:rPr>
      <w:rFonts w:ascii="仿宋_GB2312" w:eastAsia="仿宋_GB2312" w:cs="仿宋_GB2312"/>
      <w:sz w:val="32"/>
      <w:szCs w:val="32"/>
    </w:rPr>
  </w:style>
  <w:style w:type="table" w:styleId="40">
    <w:name w:val="Table Grid"/>
    <w:basedOn w:val="39"/>
    <w:qFormat/>
    <w:uiPriority w:val="0"/>
    <w:rPr>
      <w:rFonts w:ascii="Calibri" w:hAnsi="Calibri" w:eastAsia="宋体" w:cs="Times New Roman"/>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Strong"/>
    <w:qFormat/>
    <w:uiPriority w:val="0"/>
    <w:rPr>
      <w:rFonts w:ascii="等线" w:hAnsi="等线" w:eastAsia="等线" w:cs="Times New Roman"/>
      <w:b/>
    </w:rPr>
  </w:style>
  <w:style w:type="character" w:styleId="43">
    <w:name w:val="page number"/>
    <w:basedOn w:val="41"/>
    <w:qFormat/>
    <w:uiPriority w:val="0"/>
    <w:rPr>
      <w:rFonts w:ascii="等线" w:hAnsi="等线" w:eastAsia="等线" w:cs="Times New Roman"/>
    </w:rPr>
  </w:style>
  <w:style w:type="character" w:styleId="44">
    <w:name w:val="FollowedHyperlink"/>
    <w:unhideWhenUsed/>
    <w:qFormat/>
    <w:uiPriority w:val="99"/>
    <w:rPr>
      <w:rFonts w:ascii="等线" w:hAnsi="等线" w:eastAsia="等线" w:cs="Times New Roman"/>
      <w:color w:val="954F72"/>
      <w:u w:val="single"/>
    </w:rPr>
  </w:style>
  <w:style w:type="character" w:styleId="45">
    <w:name w:val="Emphasis"/>
    <w:qFormat/>
    <w:uiPriority w:val="20"/>
    <w:rPr>
      <w:rFonts w:ascii="等线" w:hAnsi="等线" w:eastAsia="等线" w:cs="Times New Roman"/>
      <w:i/>
      <w:iCs/>
    </w:rPr>
  </w:style>
  <w:style w:type="character" w:styleId="46">
    <w:name w:val="Hyperlink"/>
    <w:basedOn w:val="41"/>
    <w:qFormat/>
    <w:uiPriority w:val="99"/>
    <w:rPr>
      <w:rFonts w:ascii="等线" w:hAnsi="等线" w:eastAsia="等线" w:cs="Times New Roman"/>
      <w:color w:val="0563C1"/>
      <w:u w:val="single"/>
    </w:rPr>
  </w:style>
  <w:style w:type="character" w:styleId="47">
    <w:name w:val="annotation reference"/>
    <w:qFormat/>
    <w:uiPriority w:val="0"/>
    <w:rPr>
      <w:rFonts w:ascii="等线" w:hAnsi="等线" w:eastAsia="等线" w:cs="Times New Roman"/>
      <w:sz w:val="21"/>
    </w:rPr>
  </w:style>
  <w:style w:type="character" w:styleId="48">
    <w:name w:val="footnote reference"/>
    <w:qFormat/>
    <w:uiPriority w:val="0"/>
    <w:rPr>
      <w:rFonts w:ascii="等线" w:hAnsi="等线" w:eastAsia="等线" w:cs="Times New Roman"/>
      <w:vertAlign w:val="superscript"/>
    </w:rPr>
  </w:style>
  <w:style w:type="character" w:customStyle="1" w:styleId="49">
    <w:name w:val="正文文本 3 字符"/>
    <w:qFormat/>
    <w:uiPriority w:val="0"/>
    <w:rPr>
      <w:rFonts w:ascii="Calibri" w:hAnsi="Calibri" w:eastAsia="宋体" w:cs="Times New Roman"/>
      <w:kern w:val="2"/>
      <w:sz w:val="16"/>
      <w:szCs w:val="16"/>
    </w:rPr>
  </w:style>
  <w:style w:type="character" w:customStyle="1" w:styleId="50">
    <w:name w:val="批注主题 Char1"/>
    <w:semiHidden/>
    <w:qFormat/>
    <w:uiPriority w:val="99"/>
    <w:rPr>
      <w:rFonts w:ascii="Calibri" w:hAnsi="Calibri" w:eastAsia="宋体" w:cs="Times New Roman"/>
      <w:b/>
      <w:bCs/>
    </w:rPr>
  </w:style>
  <w:style w:type="character" w:customStyle="1" w:styleId="51">
    <w:name w:val="日期 Char1"/>
    <w:link w:val="22"/>
    <w:qFormat/>
    <w:uiPriority w:val="0"/>
    <w:rPr>
      <w:rFonts w:ascii="Calibri" w:hAnsi="Calibri" w:eastAsia="宋体" w:cs="Times New Roman"/>
      <w:kern w:val="2"/>
      <w:sz w:val="21"/>
      <w:szCs w:val="22"/>
    </w:rPr>
  </w:style>
  <w:style w:type="character" w:customStyle="1" w:styleId="52">
    <w:name w:val="apple-converted-space"/>
    <w:qFormat/>
    <w:uiPriority w:val="0"/>
  </w:style>
  <w:style w:type="character" w:customStyle="1" w:styleId="53">
    <w:name w:val="font71"/>
    <w:qFormat/>
    <w:uiPriority w:val="0"/>
    <w:rPr>
      <w:rFonts w:hint="eastAsia" w:ascii="宋体" w:hAnsi="宋体" w:eastAsia="宋体" w:cs="宋体"/>
      <w:color w:val="000000"/>
      <w:sz w:val="22"/>
      <w:szCs w:val="22"/>
      <w:u w:val="none"/>
    </w:rPr>
  </w:style>
  <w:style w:type="character" w:customStyle="1" w:styleId="54">
    <w:name w:val="正文文本缩进 字符"/>
    <w:qFormat/>
    <w:uiPriority w:val="0"/>
    <w:rPr>
      <w:rFonts w:ascii="Calibri" w:hAnsi="Calibri" w:eastAsia="宋体" w:cs="Times New Roman"/>
      <w:kern w:val="2"/>
      <w:sz w:val="21"/>
      <w:szCs w:val="22"/>
    </w:rPr>
  </w:style>
  <w:style w:type="character" w:customStyle="1" w:styleId="55">
    <w:name w:val="正文文本缩进 2 Char1"/>
    <w:semiHidden/>
    <w:qFormat/>
    <w:uiPriority w:val="99"/>
    <w:rPr>
      <w:rFonts w:ascii="Calibri" w:hAnsi="Calibri" w:eastAsia="宋体" w:cs="Times New Roman"/>
    </w:rPr>
  </w:style>
  <w:style w:type="character" w:customStyle="1" w:styleId="56">
    <w:name w:val="批注框文本 Char"/>
    <w:link w:val="24"/>
    <w:qFormat/>
    <w:uiPriority w:val="0"/>
    <w:rPr>
      <w:rFonts w:ascii="Calibri" w:hAnsi="Calibri" w:eastAsia="宋体" w:cs="Times New Roman"/>
      <w:kern w:val="2"/>
      <w:sz w:val="18"/>
      <w:szCs w:val="18"/>
    </w:rPr>
  </w:style>
  <w:style w:type="character" w:customStyle="1" w:styleId="57">
    <w:name w:val="font51"/>
    <w:qFormat/>
    <w:uiPriority w:val="0"/>
    <w:rPr>
      <w:rFonts w:hint="default" w:ascii="Times New Roman" w:hAnsi="Times New Roman" w:eastAsia="等线" w:cs="Times New Roman"/>
      <w:color w:val="000000"/>
      <w:sz w:val="22"/>
      <w:szCs w:val="22"/>
      <w:u w:val="none"/>
    </w:rPr>
  </w:style>
  <w:style w:type="character" w:customStyle="1" w:styleId="58">
    <w:name w:val="未处理的提及1"/>
    <w:unhideWhenUsed/>
    <w:qFormat/>
    <w:uiPriority w:val="99"/>
    <w:rPr>
      <w:rFonts w:ascii="等线" w:hAnsi="等线" w:eastAsia="等线" w:cs="Times New Roman"/>
      <w:color w:val="808080"/>
      <w:shd w:val="clear" w:color="auto" w:fill="E6E6E6"/>
    </w:rPr>
  </w:style>
  <w:style w:type="character" w:customStyle="1" w:styleId="59">
    <w:name w:val="MSG_EN_FONT_STYLE_NAME_TEMPLATE_ROLE_NUMBER MSG_EN_FONT_STYLE_NAME_BY_ROLE_TEXT 2_"/>
    <w:link w:val="60"/>
    <w:qFormat/>
    <w:uiPriority w:val="0"/>
    <w:rPr>
      <w:rFonts w:ascii="PMingLiU" w:hAnsi="PMingLiU" w:eastAsia="PMingLiU" w:cs="Times New Roman"/>
      <w:sz w:val="22"/>
      <w:shd w:val="clear" w:color="auto" w:fill="FFFFFF"/>
      <w:lang w:bidi="ar-SA"/>
    </w:rPr>
  </w:style>
  <w:style w:type="paragraph" w:customStyle="1" w:styleId="60">
    <w:name w:val="MSG_EN_FONT_STYLE_NAME_TEMPLATE_ROLE_NUMBER MSG_EN_FONT_STYLE_NAME_BY_ROLE_TEXT 2"/>
    <w:basedOn w:val="1"/>
    <w:link w:val="59"/>
    <w:qFormat/>
    <w:uiPriority w:val="0"/>
    <w:pPr>
      <w:shd w:val="clear" w:color="auto" w:fill="FFFFFF"/>
      <w:spacing w:before="340" w:line="353" w:lineRule="exact"/>
      <w:jc w:val="distribute"/>
    </w:pPr>
    <w:rPr>
      <w:rFonts w:ascii="PMingLiU" w:hAnsi="PMingLiU" w:eastAsia="PMingLiU"/>
      <w:kern w:val="0"/>
      <w:sz w:val="22"/>
      <w:szCs w:val="20"/>
      <w:shd w:val="clear" w:color="auto" w:fill="FFFFFF"/>
    </w:rPr>
  </w:style>
  <w:style w:type="character" w:customStyle="1" w:styleId="61">
    <w:name w:val="日期 Char2"/>
    <w:semiHidden/>
    <w:qFormat/>
    <w:uiPriority w:val="99"/>
    <w:rPr>
      <w:rFonts w:ascii="Calibri" w:hAnsi="Calibri" w:eastAsia="宋体" w:cs="Times New Roman"/>
    </w:rPr>
  </w:style>
  <w:style w:type="character" w:customStyle="1" w:styleId="62">
    <w:name w:val="Body Text Char"/>
    <w:qFormat/>
    <w:uiPriority w:val="0"/>
    <w:rPr>
      <w:rFonts w:ascii="宋体" w:hAnsi="宋体" w:eastAsia="宋体" w:cs="Times New Roman"/>
      <w:kern w:val="0"/>
      <w:sz w:val="23"/>
      <w:szCs w:val="23"/>
      <w:lang w:eastAsia="en-US"/>
    </w:rPr>
  </w:style>
  <w:style w:type="character" w:customStyle="1" w:styleId="63">
    <w:name w:val="页眉 Char"/>
    <w:link w:val="26"/>
    <w:qFormat/>
    <w:uiPriority w:val="99"/>
    <w:rPr>
      <w:rFonts w:ascii="Calibri" w:hAnsi="Calibri" w:eastAsia="宋体" w:cs="Times New Roman"/>
      <w:kern w:val="2"/>
      <w:sz w:val="18"/>
      <w:szCs w:val="18"/>
    </w:rPr>
  </w:style>
  <w:style w:type="character" w:customStyle="1" w:styleId="64">
    <w:name w:val="Body Text Indent 2 Char"/>
    <w:qFormat/>
    <w:uiPriority w:val="0"/>
    <w:rPr>
      <w:rFonts w:ascii="宋体" w:hAnsi="等线" w:eastAsia="宋体" w:cs="Times New Roman"/>
      <w:sz w:val="24"/>
    </w:rPr>
  </w:style>
  <w:style w:type="character" w:customStyle="1" w:styleId="65">
    <w:name w:val="正文文本 Char2"/>
    <w:semiHidden/>
    <w:qFormat/>
    <w:uiPriority w:val="99"/>
    <w:rPr>
      <w:rFonts w:ascii="Calibri" w:hAnsi="Calibri" w:eastAsia="宋体" w:cs="Times New Roman"/>
    </w:rPr>
  </w:style>
  <w:style w:type="character" w:customStyle="1" w:styleId="66">
    <w:name w:val="正文文本 + 间距 -2 pt"/>
    <w:qFormat/>
    <w:uiPriority w:val="0"/>
    <w:rPr>
      <w:rFonts w:ascii="Arial Unicode MS" w:hAnsi="等线" w:eastAsia="Times New Roman" w:cs="Arial Unicode MS"/>
      <w:spacing w:val="-50"/>
      <w:kern w:val="2"/>
      <w:sz w:val="23"/>
      <w:szCs w:val="23"/>
      <w:shd w:val="clear" w:color="auto" w:fill="FFFFFF"/>
      <w:lang w:val="en-US" w:eastAsia="en-US"/>
    </w:rPr>
  </w:style>
  <w:style w:type="character" w:customStyle="1" w:styleId="67">
    <w:name w:val="highlight"/>
    <w:qFormat/>
    <w:uiPriority w:val="0"/>
  </w:style>
  <w:style w:type="character" w:customStyle="1" w:styleId="68">
    <w:name w:val="脚注文本 Char"/>
    <w:link w:val="29"/>
    <w:qFormat/>
    <w:uiPriority w:val="0"/>
    <w:rPr>
      <w:rFonts w:ascii="Calibri" w:hAnsi="Calibri" w:eastAsia="宋体" w:cs="Times New Roman"/>
      <w:kern w:val="2"/>
      <w:sz w:val="18"/>
      <w:szCs w:val="18"/>
    </w:rPr>
  </w:style>
  <w:style w:type="character" w:customStyle="1" w:styleId="69">
    <w:name w:val="正文文本 3 Char1"/>
    <w:semiHidden/>
    <w:qFormat/>
    <w:uiPriority w:val="99"/>
    <w:rPr>
      <w:rFonts w:ascii="Calibri" w:hAnsi="Calibri" w:eastAsia="宋体" w:cs="Times New Roman"/>
      <w:sz w:val="16"/>
      <w:szCs w:val="16"/>
    </w:rPr>
  </w:style>
  <w:style w:type="character" w:customStyle="1" w:styleId="70">
    <w:name w:val="标题 1 Char"/>
    <w:link w:val="3"/>
    <w:qFormat/>
    <w:uiPriority w:val="0"/>
    <w:rPr>
      <w:rFonts w:ascii="Times New Roman" w:hAnsi="Times New Roman" w:eastAsia="宋体" w:cs="Times New Roman"/>
      <w:b/>
      <w:bCs/>
      <w:kern w:val="44"/>
      <w:sz w:val="36"/>
      <w:szCs w:val="44"/>
      <w:lang w:val="en-US" w:eastAsia="en-US" w:bidi="ar-SA"/>
    </w:rPr>
  </w:style>
  <w:style w:type="character" w:customStyle="1" w:styleId="71">
    <w:name w:val="标题 4 Char"/>
    <w:link w:val="6"/>
    <w:qFormat/>
    <w:uiPriority w:val="0"/>
    <w:rPr>
      <w:rFonts w:ascii="Cambria" w:hAnsi="Cambria" w:eastAsia="宋体" w:cs="Times New Roman"/>
      <w:b/>
      <w:bCs/>
      <w:kern w:val="2"/>
      <w:sz w:val="28"/>
      <w:szCs w:val="28"/>
      <w:lang w:val="en-US" w:eastAsia="zh-CN" w:bidi="ar-SA"/>
    </w:rPr>
  </w:style>
  <w:style w:type="character" w:customStyle="1" w:styleId="72">
    <w:name w:val="正文文本 + SimHei"/>
    <w:qFormat/>
    <w:uiPriority w:val="0"/>
    <w:rPr>
      <w:rFonts w:ascii="黑体" w:hAnsi="等线" w:eastAsia="黑体" w:cs="黑体"/>
      <w:b/>
      <w:bCs/>
      <w:kern w:val="2"/>
      <w:sz w:val="26"/>
      <w:szCs w:val="26"/>
      <w:shd w:val="clear" w:color="auto" w:fill="FFFFFF"/>
    </w:rPr>
  </w:style>
  <w:style w:type="character" w:customStyle="1" w:styleId="73">
    <w:name w:val="HTML 预设格式 Char"/>
    <w:link w:val="34"/>
    <w:qFormat/>
    <w:uiPriority w:val="0"/>
    <w:rPr>
      <w:rFonts w:ascii="宋体" w:hAnsi="宋体" w:eastAsia="等线" w:cs="Times New Roman"/>
      <w:sz w:val="24"/>
      <w:szCs w:val="24"/>
    </w:rPr>
  </w:style>
  <w:style w:type="character" w:customStyle="1" w:styleId="74">
    <w:name w:val="Heading 2 Char"/>
    <w:qFormat/>
    <w:uiPriority w:val="0"/>
    <w:rPr>
      <w:rFonts w:ascii="Cambria" w:hAnsi="Cambria" w:eastAsia="宋体" w:cs="Times New Roman"/>
      <w:b/>
      <w:bCs/>
      <w:sz w:val="32"/>
      <w:szCs w:val="32"/>
    </w:rPr>
  </w:style>
  <w:style w:type="character" w:customStyle="1" w:styleId="75">
    <w:name w:val="纯文本 Char"/>
    <w:link w:val="20"/>
    <w:qFormat/>
    <w:uiPriority w:val="0"/>
    <w:rPr>
      <w:rFonts w:ascii="宋体" w:hAnsi="Courier New" w:eastAsia="宋体" w:cs="Courier New"/>
      <w:kern w:val="2"/>
      <w:sz w:val="21"/>
      <w:szCs w:val="21"/>
    </w:rPr>
  </w:style>
  <w:style w:type="character" w:customStyle="1" w:styleId="76">
    <w:name w:val="Header Char"/>
    <w:qFormat/>
    <w:uiPriority w:val="0"/>
    <w:rPr>
      <w:rFonts w:ascii="等线" w:hAnsi="等线" w:eastAsia="等线" w:cs="Times New Roman"/>
      <w:sz w:val="18"/>
      <w:szCs w:val="18"/>
    </w:rPr>
  </w:style>
  <w:style w:type="character" w:customStyle="1" w:styleId="77">
    <w:name w:val="sect2title"/>
    <w:qFormat/>
    <w:uiPriority w:val="0"/>
  </w:style>
  <w:style w:type="character" w:customStyle="1" w:styleId="78">
    <w:name w:val="title"/>
    <w:qFormat/>
    <w:uiPriority w:val="0"/>
  </w:style>
  <w:style w:type="character" w:customStyle="1" w:styleId="79">
    <w:name w:val="脚注文本 Char1"/>
    <w:semiHidden/>
    <w:qFormat/>
    <w:uiPriority w:val="99"/>
    <w:rPr>
      <w:rFonts w:ascii="Calibri" w:hAnsi="Calibri" w:eastAsia="宋体" w:cs="Times New Roman"/>
      <w:sz w:val="18"/>
      <w:szCs w:val="18"/>
    </w:rPr>
  </w:style>
  <w:style w:type="character" w:customStyle="1" w:styleId="80">
    <w:name w:val="Body Text Indent Char1"/>
    <w:qFormat/>
    <w:uiPriority w:val="0"/>
    <w:rPr>
      <w:rFonts w:ascii="等线" w:hAnsi="等线" w:eastAsia="等线" w:cs="Times New Roman"/>
      <w:kern w:val="0"/>
      <w:sz w:val="22"/>
      <w:lang w:eastAsia="en-US"/>
    </w:rPr>
  </w:style>
  <w:style w:type="character" w:customStyle="1" w:styleId="81">
    <w:name w:val="批注主题 Char"/>
    <w:link w:val="37"/>
    <w:qFormat/>
    <w:uiPriority w:val="0"/>
    <w:rPr>
      <w:rFonts w:ascii="Calibri" w:hAnsi="等线" w:eastAsia="宋体" w:cs="Times New Roman"/>
      <w:b/>
      <w:sz w:val="32"/>
      <w:lang w:val="en-US" w:eastAsia="zh-CN" w:bidi="ar-SA"/>
    </w:rPr>
  </w:style>
  <w:style w:type="character" w:customStyle="1" w:styleId="82">
    <w:name w:val="MSG_EN_FONT_STYLE_NAME_TEMPLATE_ROLE_NUMBER MSG_EN_FONT_STYLE_NAME_BY_ROLE_TEXT 2 + MSG_EN_FONT_STYLE_MODIFER_SIZE 9.5"/>
    <w:qFormat/>
    <w:uiPriority w:val="0"/>
    <w:rPr>
      <w:rFonts w:ascii="等线" w:hAnsi="等线" w:eastAsia="等线" w:cs="Times New Roman"/>
      <w:color w:val="000000"/>
      <w:spacing w:val="30"/>
      <w:w w:val="100"/>
      <w:position w:val="0"/>
      <w:sz w:val="19"/>
      <w:szCs w:val="19"/>
      <w:u w:val="none"/>
      <w:shd w:val="clear" w:color="auto" w:fill="FFFFFF"/>
      <w:lang w:val="zh-CN" w:eastAsia="zh-CN" w:bidi="ar-SA"/>
    </w:rPr>
  </w:style>
  <w:style w:type="character" w:customStyle="1" w:styleId="83">
    <w:name w:val="正文文本 + 10.5 pt"/>
    <w:qFormat/>
    <w:uiPriority w:val="0"/>
    <w:rPr>
      <w:rFonts w:ascii="Arial Unicode MS" w:hAnsi="等线" w:eastAsia="Times New Roman" w:cs="Arial Unicode MS"/>
      <w:spacing w:val="20"/>
      <w:kern w:val="2"/>
      <w:sz w:val="21"/>
      <w:szCs w:val="21"/>
      <w:shd w:val="clear" w:color="auto" w:fill="FFFFFF"/>
      <w:lang w:val="en-US" w:eastAsia="en-US"/>
    </w:rPr>
  </w:style>
  <w:style w:type="character" w:customStyle="1" w:styleId="84">
    <w:name w:val="正文文本 + 6.5 pt"/>
    <w:qFormat/>
    <w:uiPriority w:val="0"/>
    <w:rPr>
      <w:rFonts w:ascii="等线" w:hAnsi="等线" w:eastAsia="等线" w:cs="Times New Roman"/>
      <w:spacing w:val="50"/>
      <w:sz w:val="13"/>
      <w:szCs w:val="13"/>
      <w:shd w:val="clear" w:color="auto" w:fill="FFFFFF"/>
      <w:lang w:bidi="ar-SA"/>
    </w:rPr>
  </w:style>
  <w:style w:type="character" w:customStyle="1" w:styleId="85">
    <w:name w:val="Comment Text Char"/>
    <w:qFormat/>
    <w:uiPriority w:val="0"/>
    <w:rPr>
      <w:rFonts w:ascii="仿宋" w:hAnsi="Calibri" w:eastAsia="仿宋" w:cs="Times New Roman"/>
      <w:sz w:val="32"/>
    </w:rPr>
  </w:style>
  <w:style w:type="character" w:customStyle="1" w:styleId="86">
    <w:name w:val="正文文本 字符"/>
    <w:qFormat/>
    <w:uiPriority w:val="0"/>
    <w:rPr>
      <w:rFonts w:ascii="Calibri" w:hAnsi="Calibri" w:eastAsia="宋体" w:cs="Times New Roman"/>
      <w:kern w:val="2"/>
      <w:sz w:val="21"/>
      <w:szCs w:val="22"/>
    </w:rPr>
  </w:style>
  <w:style w:type="character" w:customStyle="1" w:styleId="87">
    <w:name w:val="日期 Char"/>
    <w:qFormat/>
    <w:uiPriority w:val="0"/>
    <w:rPr>
      <w:rFonts w:ascii="等线" w:hAnsi="等线" w:eastAsia="等线" w:cs="Times New Roman"/>
      <w:kern w:val="2"/>
      <w:sz w:val="21"/>
      <w:szCs w:val="24"/>
    </w:rPr>
  </w:style>
  <w:style w:type="character" w:customStyle="1" w:styleId="88">
    <w:name w:val="正文文本 Char1"/>
    <w:qFormat/>
    <w:uiPriority w:val="0"/>
    <w:rPr>
      <w:rFonts w:ascii="等线" w:hAnsi="等线" w:eastAsia="等线" w:cs="Times New Roman"/>
      <w:kern w:val="2"/>
      <w:sz w:val="21"/>
      <w:szCs w:val="24"/>
    </w:rPr>
  </w:style>
  <w:style w:type="character" w:customStyle="1" w:styleId="89">
    <w:name w:val="标题 2 Char"/>
    <w:link w:val="4"/>
    <w:qFormat/>
    <w:uiPriority w:val="9"/>
    <w:rPr>
      <w:rFonts w:ascii="Arial" w:hAnsi="Arial" w:eastAsia="黑体" w:cs="Times New Roman"/>
      <w:b/>
      <w:bCs/>
      <w:kern w:val="2"/>
      <w:sz w:val="32"/>
      <w:szCs w:val="32"/>
    </w:rPr>
  </w:style>
  <w:style w:type="character" w:customStyle="1" w:styleId="90">
    <w:name w:val="正文文本_"/>
    <w:link w:val="91"/>
    <w:qFormat/>
    <w:uiPriority w:val="0"/>
    <w:rPr>
      <w:rFonts w:ascii="Arial Unicode MS" w:hAnsi="Arial Unicode MS" w:eastAsia="等线" w:cs="Times New Roman"/>
      <w:sz w:val="23"/>
      <w:szCs w:val="23"/>
      <w:shd w:val="clear" w:color="auto" w:fill="FFFFFF"/>
      <w:lang w:bidi="ar-SA"/>
    </w:rPr>
  </w:style>
  <w:style w:type="paragraph" w:customStyle="1" w:styleId="91">
    <w:name w:val="正文文本1"/>
    <w:basedOn w:val="1"/>
    <w:link w:val="90"/>
    <w:qFormat/>
    <w:uiPriority w:val="0"/>
    <w:pPr>
      <w:shd w:val="clear" w:color="auto" w:fill="FFFFFF"/>
      <w:spacing w:after="120" w:line="240" w:lineRule="atLeast"/>
      <w:jc w:val="left"/>
    </w:pPr>
    <w:rPr>
      <w:rFonts w:ascii="Arial Unicode MS" w:hAnsi="Arial Unicode MS" w:eastAsia="等线"/>
      <w:kern w:val="0"/>
      <w:sz w:val="23"/>
      <w:szCs w:val="23"/>
      <w:shd w:val="clear" w:color="auto" w:fill="FFFFFF"/>
    </w:rPr>
  </w:style>
  <w:style w:type="character" w:customStyle="1" w:styleId="92">
    <w:name w:val="样式 仿宋"/>
    <w:qFormat/>
    <w:uiPriority w:val="0"/>
    <w:rPr>
      <w:rFonts w:ascii="仿宋" w:hAnsi="仿宋" w:eastAsia="仿宋" w:cs="Times New Roman"/>
      <w:kern w:val="1"/>
    </w:rPr>
  </w:style>
  <w:style w:type="character" w:customStyle="1" w:styleId="93">
    <w:name w:val="正文文本缩进 Char"/>
    <w:link w:val="16"/>
    <w:qFormat/>
    <w:uiPriority w:val="0"/>
    <w:rPr>
      <w:rFonts w:ascii="等线" w:hAnsi="等线" w:eastAsia="仿宋_GB2312" w:cs="Times New Roman"/>
      <w:sz w:val="32"/>
      <w:szCs w:val="24"/>
    </w:rPr>
  </w:style>
  <w:style w:type="character" w:customStyle="1" w:styleId="94">
    <w:name w:val="Body Text Indent Char"/>
    <w:qFormat/>
    <w:uiPriority w:val="0"/>
    <w:rPr>
      <w:rFonts w:ascii="Times New Roman" w:hAnsi="Times New Roman" w:eastAsia="等线" w:cs="Times New Roman"/>
      <w:sz w:val="24"/>
    </w:rPr>
  </w:style>
  <w:style w:type="character" w:customStyle="1" w:styleId="95">
    <w:name w:val="MSG_EN_FONT_STYLE_NAME_TEMPLATE_ROLE_NUMBER MSG_EN_FONT_STYLE_NAME_BY_ROLE_TEXT 2 + MSG_EN_FONT_STYLE_MODIFER_SPACING 1"/>
    <w:qFormat/>
    <w:uiPriority w:val="0"/>
    <w:rPr>
      <w:rFonts w:ascii="等线" w:hAnsi="等线" w:eastAsia="等线" w:cs="Times New Roman"/>
      <w:color w:val="000000"/>
      <w:spacing w:val="30"/>
      <w:w w:val="100"/>
      <w:position w:val="0"/>
      <w:sz w:val="22"/>
      <w:shd w:val="clear" w:color="auto" w:fill="FFFFFF"/>
      <w:lang w:val="zh-CN" w:eastAsia="zh-CN" w:bidi="ar-SA"/>
    </w:rPr>
  </w:style>
  <w:style w:type="character" w:customStyle="1" w:styleId="96">
    <w:name w:val="样式1 Char"/>
    <w:link w:val="97"/>
    <w:qFormat/>
    <w:uiPriority w:val="0"/>
    <w:rPr>
      <w:rFonts w:ascii="微软雅黑" w:hAnsi="微软雅黑" w:eastAsia="微软雅黑" w:cs="楷体_GB2312"/>
      <w:b/>
      <w:kern w:val="2"/>
      <w:sz w:val="24"/>
      <w:szCs w:val="24"/>
      <w:lang w:val="zh-CN"/>
    </w:rPr>
  </w:style>
  <w:style w:type="paragraph" w:customStyle="1" w:styleId="97">
    <w:name w:val="样式1"/>
    <w:basedOn w:val="3"/>
    <w:link w:val="96"/>
    <w:qFormat/>
    <w:uiPriority w:val="0"/>
    <w:pPr>
      <w:keepNext w:val="0"/>
      <w:keepLines w:val="0"/>
      <w:snapToGrid w:val="0"/>
      <w:spacing w:before="0" w:after="0" w:line="360" w:lineRule="auto"/>
      <w:ind w:left="620"/>
      <w:jc w:val="center"/>
    </w:pPr>
    <w:rPr>
      <w:rFonts w:ascii="微软雅黑" w:hAnsi="微软雅黑" w:eastAsia="微软雅黑"/>
      <w:bCs w:val="0"/>
      <w:kern w:val="2"/>
      <w:sz w:val="24"/>
      <w:szCs w:val="24"/>
      <w:lang w:val="zh-CN"/>
    </w:rPr>
  </w:style>
  <w:style w:type="character" w:customStyle="1" w:styleId="98">
    <w:name w:val="正文文本 Char"/>
    <w:link w:val="14"/>
    <w:qFormat/>
    <w:uiPriority w:val="0"/>
    <w:rPr>
      <w:rFonts w:ascii="Times New Roman" w:hAnsi="Times New Roman" w:eastAsia="宋体" w:cs="Times New Roman"/>
      <w:kern w:val="2"/>
      <w:sz w:val="21"/>
      <w:szCs w:val="24"/>
    </w:rPr>
  </w:style>
  <w:style w:type="character" w:customStyle="1" w:styleId="99">
    <w:name w:val="正文文本缩进 2 Char"/>
    <w:link w:val="23"/>
    <w:qFormat/>
    <w:uiPriority w:val="0"/>
    <w:rPr>
      <w:rFonts w:ascii="宋体" w:hAnsi="Calibri" w:eastAsia="宋体" w:cs="Times New Roman"/>
      <w:sz w:val="24"/>
      <w:lang w:val="en-US" w:eastAsia="zh-CN" w:bidi="ar-SA"/>
    </w:rPr>
  </w:style>
  <w:style w:type="character" w:customStyle="1" w:styleId="100">
    <w:name w:val="批注文字 Char2"/>
    <w:semiHidden/>
    <w:qFormat/>
    <w:uiPriority w:val="99"/>
    <w:rPr>
      <w:rFonts w:ascii="Calibri" w:hAnsi="Calibri" w:eastAsia="宋体" w:cs="Times New Roman"/>
    </w:rPr>
  </w:style>
  <w:style w:type="character" w:customStyle="1" w:styleId="101">
    <w:name w:val="fontstyle01"/>
    <w:qFormat/>
    <w:uiPriority w:val="0"/>
    <w:rPr>
      <w:rFonts w:hint="eastAsia" w:ascii="宋体" w:hAnsi="宋体" w:eastAsia="宋体" w:cs="Times New Roman"/>
      <w:color w:val="000000"/>
      <w:sz w:val="28"/>
      <w:szCs w:val="28"/>
    </w:rPr>
  </w:style>
  <w:style w:type="character" w:customStyle="1" w:styleId="102">
    <w:name w:val="页眉 字符1"/>
    <w:qFormat/>
    <w:uiPriority w:val="99"/>
    <w:rPr>
      <w:rFonts w:ascii="等线" w:hAnsi="等线" w:eastAsia="等线" w:cs="Times New Roman"/>
      <w:sz w:val="18"/>
      <w:szCs w:val="18"/>
    </w:rPr>
  </w:style>
  <w:style w:type="character" w:customStyle="1" w:styleId="103">
    <w:name w:val="标题 3 Char"/>
    <w:link w:val="5"/>
    <w:qFormat/>
    <w:uiPriority w:val="9"/>
    <w:rPr>
      <w:rFonts w:ascii="Calibri" w:hAnsi="Calibri" w:eastAsia="宋体" w:cs="Times New Roman"/>
      <w:b/>
      <w:bCs/>
      <w:kern w:val="2"/>
      <w:sz w:val="32"/>
      <w:szCs w:val="32"/>
      <w:lang w:val="en-US" w:eastAsia="zh-CN" w:bidi="ar-SA"/>
    </w:rPr>
  </w:style>
  <w:style w:type="character" w:customStyle="1" w:styleId="104">
    <w:name w:val="正文文本缩进 3 Char"/>
    <w:link w:val="31"/>
    <w:qFormat/>
    <w:uiPriority w:val="0"/>
    <w:rPr>
      <w:rFonts w:ascii="仿宋_GB2312" w:hAnsi="Calibri" w:eastAsia="仿宋_GB2312"/>
      <w:kern w:val="2"/>
      <w:sz w:val="32"/>
      <w:szCs w:val="22"/>
    </w:rPr>
  </w:style>
  <w:style w:type="character" w:customStyle="1" w:styleId="105">
    <w:name w:val="列出段落 Char"/>
    <w:link w:val="106"/>
    <w:qFormat/>
    <w:uiPriority w:val="34"/>
    <w:rPr>
      <w:rFonts w:ascii="等线" w:hAnsi="等线" w:eastAsia="等线"/>
      <w:kern w:val="2"/>
      <w:sz w:val="21"/>
      <w:szCs w:val="22"/>
    </w:rPr>
  </w:style>
  <w:style w:type="paragraph" w:customStyle="1" w:styleId="106">
    <w:name w:val="列出段落1"/>
    <w:basedOn w:val="1"/>
    <w:link w:val="105"/>
    <w:qFormat/>
    <w:uiPriority w:val="34"/>
    <w:pPr>
      <w:ind w:firstLine="420" w:firstLineChars="200"/>
    </w:pPr>
    <w:rPr>
      <w:rFonts w:ascii="等线" w:hAnsi="等线" w:eastAsia="等线"/>
    </w:rPr>
  </w:style>
  <w:style w:type="character" w:customStyle="1" w:styleId="107">
    <w:name w:val="标题 3 字符1"/>
    <w:qFormat/>
    <w:uiPriority w:val="0"/>
    <w:rPr>
      <w:rFonts w:ascii="仿宋" w:hAnsi="仿宋" w:eastAsia="仿宋" w:cs="楷体_GB2312"/>
      <w:b/>
      <w:bCs/>
      <w:sz w:val="28"/>
    </w:rPr>
  </w:style>
  <w:style w:type="character" w:customStyle="1" w:styleId="108">
    <w:name w:val="正文文本缩进 Char1"/>
    <w:semiHidden/>
    <w:qFormat/>
    <w:uiPriority w:val="99"/>
    <w:rPr>
      <w:rFonts w:ascii="Calibri" w:hAnsi="Calibri" w:eastAsia="宋体" w:cs="Times New Roman"/>
    </w:rPr>
  </w:style>
  <w:style w:type="character" w:customStyle="1" w:styleId="109">
    <w:name w:val="MSG_EN_FONT_STYLE_NAME_TEMPLATE_ROLE_NUMBER MSG_EN_FONT_STYLE_NAME_BY_ROLE_TEXT 2 + MSG_EN_FONT_STYLE_MODIFER_SPACING 2"/>
    <w:qFormat/>
    <w:uiPriority w:val="0"/>
    <w:rPr>
      <w:rFonts w:ascii="等线" w:hAnsi="等线" w:eastAsia="等线" w:cs="Times New Roman"/>
      <w:color w:val="000000"/>
      <w:spacing w:val="50"/>
      <w:w w:val="100"/>
      <w:position w:val="0"/>
      <w:sz w:val="22"/>
      <w:shd w:val="clear" w:color="auto" w:fill="FFFFFF"/>
      <w:lang w:val="en-US" w:eastAsia="en-US" w:bidi="ar-SA"/>
    </w:rPr>
  </w:style>
  <w:style w:type="character" w:customStyle="1" w:styleId="110">
    <w:name w:val="标题 Char"/>
    <w:link w:val="36"/>
    <w:qFormat/>
    <w:uiPriority w:val="0"/>
    <w:rPr>
      <w:rFonts w:ascii="Arial" w:hAnsi="Arial" w:cs="Arial"/>
      <w:b/>
      <w:bCs/>
      <w:kern w:val="2"/>
      <w:sz w:val="32"/>
      <w:szCs w:val="32"/>
    </w:rPr>
  </w:style>
  <w:style w:type="character" w:customStyle="1" w:styleId="111">
    <w:name w:val="Balloon Text Char"/>
    <w:qFormat/>
    <w:uiPriority w:val="0"/>
    <w:rPr>
      <w:rFonts w:ascii="等线" w:hAnsi="等线" w:eastAsia="等线" w:cs="Times New Roman"/>
      <w:kern w:val="0"/>
      <w:sz w:val="18"/>
      <w:szCs w:val="18"/>
      <w:lang w:eastAsia="en-US"/>
    </w:rPr>
  </w:style>
  <w:style w:type="character" w:customStyle="1" w:styleId="112">
    <w:name w:val="正文文本 3 Char"/>
    <w:link w:val="13"/>
    <w:qFormat/>
    <w:uiPriority w:val="0"/>
    <w:rPr>
      <w:rFonts w:ascii="Calibri" w:hAnsi="Calibri" w:eastAsia="宋体" w:cs="Times New Roman"/>
      <w:kern w:val="2"/>
      <w:sz w:val="16"/>
      <w:szCs w:val="16"/>
    </w:rPr>
  </w:style>
  <w:style w:type="character" w:customStyle="1" w:styleId="113">
    <w:name w:val="文档结构图 Char"/>
    <w:link w:val="10"/>
    <w:qFormat/>
    <w:uiPriority w:val="0"/>
    <w:rPr>
      <w:rFonts w:ascii="宋体" w:hAnsi="Calibri" w:eastAsia="宋体" w:cs="Times New Roman"/>
      <w:kern w:val="2"/>
      <w:sz w:val="18"/>
      <w:szCs w:val="18"/>
    </w:rPr>
  </w:style>
  <w:style w:type="character" w:customStyle="1" w:styleId="114">
    <w:name w:val="Comment Subject Char"/>
    <w:qFormat/>
    <w:uiPriority w:val="0"/>
    <w:rPr>
      <w:rFonts w:ascii="等线" w:hAnsi="等线" w:eastAsia="等线" w:cs="Times New Roman"/>
      <w:b/>
    </w:rPr>
  </w:style>
  <w:style w:type="character" w:customStyle="1" w:styleId="115">
    <w:name w:val="批注文字 Char"/>
    <w:qFormat/>
    <w:uiPriority w:val="0"/>
    <w:rPr>
      <w:rFonts w:ascii="等线" w:hAnsi="等线" w:eastAsia="等线" w:cs="Times New Roman"/>
      <w:kern w:val="2"/>
      <w:sz w:val="22"/>
    </w:rPr>
  </w:style>
  <w:style w:type="character" w:customStyle="1" w:styleId="116">
    <w:name w:val="Document Map Char"/>
    <w:qFormat/>
    <w:uiPriority w:val="0"/>
    <w:rPr>
      <w:rFonts w:ascii="宋体" w:hAnsi="等线" w:eastAsia="宋体" w:cs="Times New Roman"/>
      <w:kern w:val="0"/>
      <w:sz w:val="18"/>
      <w:szCs w:val="18"/>
      <w:lang w:eastAsia="en-US"/>
    </w:rPr>
  </w:style>
  <w:style w:type="character" w:customStyle="1" w:styleId="117">
    <w:name w:val="未处理的提及"/>
    <w:unhideWhenUsed/>
    <w:qFormat/>
    <w:uiPriority w:val="99"/>
    <w:rPr>
      <w:rFonts w:ascii="等线" w:hAnsi="等线" w:eastAsia="等线" w:cs="Times New Roman"/>
      <w:color w:val="808080"/>
      <w:shd w:val="clear" w:color="auto" w:fill="E6E6E6"/>
    </w:rPr>
  </w:style>
  <w:style w:type="character" w:customStyle="1" w:styleId="118">
    <w:name w:val="font61"/>
    <w:qFormat/>
    <w:uiPriority w:val="0"/>
    <w:rPr>
      <w:rFonts w:hint="default" w:ascii="Times New Roman" w:hAnsi="Times New Roman" w:eastAsia="等线" w:cs="Times New Roman"/>
      <w:color w:val="000000"/>
      <w:sz w:val="22"/>
      <w:szCs w:val="22"/>
      <w:u w:val="none"/>
    </w:rPr>
  </w:style>
  <w:style w:type="character" w:customStyle="1" w:styleId="119">
    <w:name w:val="批注文字 字符1"/>
    <w:qFormat/>
    <w:uiPriority w:val="0"/>
    <w:rPr>
      <w:rFonts w:ascii="Calibri" w:hAnsi="Calibri" w:eastAsia="宋体" w:cs="Times New Roman"/>
    </w:rPr>
  </w:style>
  <w:style w:type="character" w:customStyle="1" w:styleId="120">
    <w:name w:val="页脚 字符1"/>
    <w:qFormat/>
    <w:uiPriority w:val="99"/>
    <w:rPr>
      <w:rFonts w:ascii="等线" w:hAnsi="等线" w:eastAsia="等线" w:cs="Times New Roman"/>
      <w:sz w:val="18"/>
      <w:szCs w:val="18"/>
    </w:rPr>
  </w:style>
  <w:style w:type="character" w:customStyle="1" w:styleId="121">
    <w:name w:val="批注文字 Char3"/>
    <w:link w:val="12"/>
    <w:qFormat/>
    <w:uiPriority w:val="99"/>
    <w:rPr>
      <w:rFonts w:ascii="Calibri" w:hAnsi="Calibri" w:eastAsia="宋体" w:cs="Times New Roman"/>
      <w:kern w:val="2"/>
      <w:sz w:val="21"/>
      <w:szCs w:val="22"/>
    </w:rPr>
  </w:style>
  <w:style w:type="character" w:customStyle="1" w:styleId="122">
    <w:name w:val="font21"/>
    <w:qFormat/>
    <w:uiPriority w:val="0"/>
    <w:rPr>
      <w:rFonts w:hint="eastAsia" w:ascii="宋体" w:hAnsi="宋体" w:eastAsia="宋体" w:cs="宋体"/>
      <w:color w:val="000000"/>
      <w:sz w:val="22"/>
      <w:szCs w:val="22"/>
      <w:u w:val="none"/>
    </w:rPr>
  </w:style>
  <w:style w:type="character" w:customStyle="1" w:styleId="123">
    <w:name w:val="MSG_EN_FONT_STYLE_NAME_TEMPLATE_ROLE_NUMBER MSG_EN_FONT_STYLE_NAME_BY_ROLE_TEXT 3_"/>
    <w:link w:val="124"/>
    <w:qFormat/>
    <w:uiPriority w:val="0"/>
    <w:rPr>
      <w:rFonts w:ascii="PMingLiU" w:hAnsi="PMingLiU" w:eastAsia="PMingLiU" w:cs="Times New Roman"/>
      <w:spacing w:val="50"/>
      <w:sz w:val="21"/>
      <w:szCs w:val="21"/>
      <w:shd w:val="clear" w:color="auto" w:fill="FFFFFF"/>
      <w:lang w:bidi="ar-SA"/>
    </w:rPr>
  </w:style>
  <w:style w:type="paragraph" w:customStyle="1" w:styleId="124">
    <w:name w:val="MSG_EN_FONT_STYLE_NAME_TEMPLATE_ROLE_NUMBER MSG_EN_FONT_STYLE_NAME_BY_ROLE_TEXT 3"/>
    <w:basedOn w:val="1"/>
    <w:link w:val="123"/>
    <w:qFormat/>
    <w:uiPriority w:val="0"/>
    <w:pPr>
      <w:shd w:val="clear" w:color="auto" w:fill="FFFFFF"/>
      <w:spacing w:after="200" w:line="210" w:lineRule="exact"/>
      <w:ind w:firstLine="500"/>
    </w:pPr>
    <w:rPr>
      <w:rFonts w:ascii="PMingLiU" w:hAnsi="PMingLiU" w:eastAsia="PMingLiU"/>
      <w:spacing w:val="50"/>
      <w:kern w:val="0"/>
      <w:szCs w:val="21"/>
      <w:shd w:val="clear" w:color="auto" w:fill="FFFFFF"/>
    </w:rPr>
  </w:style>
  <w:style w:type="character" w:customStyle="1" w:styleId="125">
    <w:name w:val="纯文本 Char1"/>
    <w:semiHidden/>
    <w:qFormat/>
    <w:uiPriority w:val="99"/>
    <w:rPr>
      <w:rFonts w:ascii="宋体" w:hAnsi="Courier New" w:eastAsia="宋体" w:cs="Courier New"/>
      <w:szCs w:val="21"/>
    </w:rPr>
  </w:style>
  <w:style w:type="character" w:customStyle="1" w:styleId="126">
    <w:name w:val="font31"/>
    <w:qFormat/>
    <w:uiPriority w:val="0"/>
    <w:rPr>
      <w:rFonts w:hint="default" w:ascii="Times New Roman" w:hAnsi="Times New Roman" w:eastAsia="等线" w:cs="Times New Roman"/>
      <w:color w:val="000000"/>
      <w:sz w:val="22"/>
      <w:szCs w:val="22"/>
      <w:u w:val="none"/>
    </w:rPr>
  </w:style>
  <w:style w:type="character" w:customStyle="1" w:styleId="127">
    <w:name w:val="Body Text Indent 2 Char1"/>
    <w:qFormat/>
    <w:uiPriority w:val="0"/>
    <w:rPr>
      <w:rFonts w:ascii="等线" w:hAnsi="等线" w:eastAsia="等线" w:cs="Times New Roman"/>
      <w:kern w:val="0"/>
      <w:sz w:val="22"/>
      <w:lang w:eastAsia="en-US"/>
    </w:rPr>
  </w:style>
  <w:style w:type="character" w:customStyle="1" w:styleId="128">
    <w:name w:val="文档结构图 Char1"/>
    <w:semiHidden/>
    <w:qFormat/>
    <w:uiPriority w:val="99"/>
    <w:rPr>
      <w:rFonts w:ascii="Microsoft YaHei UI" w:hAnsi="Calibri" w:eastAsia="Microsoft YaHei UI" w:cs="Times New Roman"/>
      <w:sz w:val="18"/>
      <w:szCs w:val="18"/>
    </w:rPr>
  </w:style>
  <w:style w:type="character" w:customStyle="1" w:styleId="129">
    <w:name w:val="MSG_EN_FONT_STYLE_NAME_TEMPLATE_ROLE_NUMBER MSG_EN_FONT_STYLE_NAME_BY_ROLE_TEXT 4_"/>
    <w:link w:val="130"/>
    <w:qFormat/>
    <w:uiPriority w:val="0"/>
    <w:rPr>
      <w:rFonts w:ascii="PMingLiU" w:hAnsi="PMingLiU" w:eastAsia="PMingLiU" w:cs="Times New Roman"/>
      <w:spacing w:val="30"/>
      <w:sz w:val="19"/>
      <w:szCs w:val="19"/>
      <w:shd w:val="clear" w:color="auto" w:fill="FFFFFF"/>
      <w:lang w:bidi="ar-SA"/>
    </w:rPr>
  </w:style>
  <w:style w:type="paragraph" w:customStyle="1" w:styleId="130">
    <w:name w:val="MSG_EN_FONT_STYLE_NAME_TEMPLATE_ROLE_NUMBER MSG_EN_FONT_STYLE_NAME_BY_ROLE_TEXT 4"/>
    <w:basedOn w:val="1"/>
    <w:link w:val="129"/>
    <w:qFormat/>
    <w:uiPriority w:val="0"/>
    <w:pPr>
      <w:shd w:val="clear" w:color="auto" w:fill="FFFFFF"/>
      <w:spacing w:after="200" w:line="220" w:lineRule="exact"/>
      <w:ind w:firstLine="520"/>
      <w:jc w:val="distribute"/>
    </w:pPr>
    <w:rPr>
      <w:rFonts w:ascii="PMingLiU" w:hAnsi="PMingLiU" w:eastAsia="PMingLiU"/>
      <w:spacing w:val="30"/>
      <w:kern w:val="0"/>
      <w:sz w:val="19"/>
      <w:szCs w:val="19"/>
      <w:shd w:val="clear" w:color="auto" w:fill="FFFFFF"/>
    </w:rPr>
  </w:style>
  <w:style w:type="character" w:customStyle="1" w:styleId="131">
    <w:name w:val="Footer Char"/>
    <w:qFormat/>
    <w:uiPriority w:val="0"/>
    <w:rPr>
      <w:rFonts w:ascii="等线" w:hAnsi="等线" w:eastAsia="等线" w:cs="Times New Roman"/>
      <w:sz w:val="18"/>
      <w:szCs w:val="18"/>
    </w:rPr>
  </w:style>
  <w:style w:type="character" w:customStyle="1" w:styleId="132">
    <w:name w:val="批注框文本 Char1"/>
    <w:semiHidden/>
    <w:qFormat/>
    <w:uiPriority w:val="99"/>
    <w:rPr>
      <w:rFonts w:ascii="Calibri" w:hAnsi="Calibri" w:eastAsia="宋体" w:cs="Times New Roman"/>
      <w:sz w:val="18"/>
      <w:szCs w:val="18"/>
    </w:rPr>
  </w:style>
  <w:style w:type="character" w:customStyle="1" w:styleId="133">
    <w:name w:val="font41"/>
    <w:qFormat/>
    <w:uiPriority w:val="0"/>
    <w:rPr>
      <w:rFonts w:hint="eastAsia" w:ascii="宋体" w:hAnsi="宋体" w:eastAsia="宋体" w:cs="宋体"/>
      <w:color w:val="000000"/>
      <w:sz w:val="22"/>
      <w:szCs w:val="22"/>
      <w:u w:val="none"/>
    </w:rPr>
  </w:style>
  <w:style w:type="character" w:customStyle="1" w:styleId="134">
    <w:name w:val="批注文字 Char1"/>
    <w:qFormat/>
    <w:uiPriority w:val="0"/>
    <w:rPr>
      <w:rFonts w:ascii="Calibri" w:hAnsi="Calibri" w:eastAsia="宋体" w:cs="Times New Roman"/>
      <w:kern w:val="2"/>
      <w:sz w:val="21"/>
      <w:szCs w:val="22"/>
    </w:rPr>
  </w:style>
  <w:style w:type="character" w:customStyle="1" w:styleId="135">
    <w:name w:val="Comment Subject Char1"/>
    <w:qFormat/>
    <w:uiPriority w:val="0"/>
    <w:rPr>
      <w:rFonts w:ascii="等线" w:hAnsi="等线" w:eastAsia="等线" w:cs="Times New Roman"/>
      <w:b/>
      <w:bCs/>
      <w:kern w:val="0"/>
      <w:sz w:val="22"/>
      <w:lang w:eastAsia="en-US"/>
    </w:rPr>
  </w:style>
  <w:style w:type="character" w:customStyle="1" w:styleId="136">
    <w:name w:val="Body Text Indent Char2"/>
    <w:qFormat/>
    <w:uiPriority w:val="0"/>
    <w:rPr>
      <w:rFonts w:ascii="等线" w:hAnsi="等线" w:eastAsia="等线" w:cs="Times New Roman"/>
      <w:kern w:val="0"/>
      <w:sz w:val="22"/>
      <w:lang w:eastAsia="en-US"/>
    </w:rPr>
  </w:style>
  <w:style w:type="character" w:customStyle="1" w:styleId="137">
    <w:name w:val="页脚 Char"/>
    <w:link w:val="25"/>
    <w:qFormat/>
    <w:uiPriority w:val="99"/>
    <w:rPr>
      <w:rFonts w:ascii="Calibri" w:hAnsi="Calibri" w:eastAsia="宋体" w:cs="Times New Roman"/>
      <w:kern w:val="2"/>
      <w:sz w:val="18"/>
      <w:szCs w:val="18"/>
    </w:rPr>
  </w:style>
  <w:style w:type="character" w:customStyle="1" w:styleId="138">
    <w:name w:val="MSG_EN_FONT_STYLE_NAME_TEMPLATE_ROLE_NUMBER MSG_EN_FONT_STYLE_NAME_BY_ROLE_TEXT 2 + MSG_EN_FONT_STYLE_MODIFER_NAME Courier New"/>
    <w:qFormat/>
    <w:uiPriority w:val="0"/>
    <w:rPr>
      <w:rFonts w:ascii="Courier New" w:hAnsi="Courier New" w:eastAsia="等线" w:cs="Courier New"/>
      <w:color w:val="000000"/>
      <w:spacing w:val="0"/>
      <w:w w:val="100"/>
      <w:position w:val="0"/>
      <w:sz w:val="16"/>
      <w:szCs w:val="16"/>
      <w:shd w:val="clear" w:color="auto" w:fill="FFFFFF"/>
      <w:lang w:val="en-US" w:eastAsia="en-US" w:bidi="ar-SA"/>
    </w:rPr>
  </w:style>
  <w:style w:type="paragraph" w:customStyle="1" w:styleId="139">
    <w:name w:val="Char Char Char"/>
    <w:basedOn w:val="1"/>
    <w:qFormat/>
    <w:uiPriority w:val="0"/>
    <w:rPr>
      <w:rFonts w:ascii="Times New Roman" w:hAnsi="Times New Roman" w:eastAsia="等线" w:cs="Times New Roman"/>
      <w:szCs w:val="24"/>
    </w:rPr>
  </w:style>
  <w:style w:type="paragraph" w:customStyle="1" w:styleId="140">
    <w:name w:val="Char Char Char Char Char Char Char1"/>
    <w:basedOn w:val="1"/>
    <w:qFormat/>
    <w:uiPriority w:val="0"/>
    <w:pPr>
      <w:spacing w:line="240" w:lineRule="atLeast"/>
      <w:ind w:left="420" w:firstLine="420"/>
    </w:pPr>
    <w:rPr>
      <w:rFonts w:ascii="Times New Roman" w:hAnsi="Times New Roman" w:eastAsia="等线"/>
      <w:kern w:val="0"/>
      <w:sz w:val="24"/>
      <w:szCs w:val="21"/>
    </w:rPr>
  </w:style>
  <w:style w:type="paragraph" w:customStyle="1" w:styleId="141">
    <w:name w:val="xl76"/>
    <w:basedOn w:val="1"/>
    <w:qFormat/>
    <w:uiPriority w:val="0"/>
    <w:pPr>
      <w:widowControl/>
      <w:pBdr>
        <w:bottom w:val="single" w:color="auto" w:sz="12" w:space="0"/>
        <w:right w:val="single" w:color="auto" w:sz="12" w:space="0"/>
      </w:pBdr>
      <w:spacing w:before="100" w:beforeAutospacing="1" w:after="100" w:afterAutospacing="1"/>
      <w:jc w:val="center"/>
      <w:textAlignment w:val="center"/>
    </w:pPr>
    <w:rPr>
      <w:rFonts w:ascii="Times New Roman" w:hAnsi="Times New Roman"/>
      <w:kern w:val="0"/>
      <w:szCs w:val="21"/>
    </w:rPr>
  </w:style>
  <w:style w:type="paragraph" w:customStyle="1" w:styleId="142">
    <w:name w:val="xl66"/>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Times New Roman" w:hAnsi="Times New Roman"/>
      <w:kern w:val="0"/>
      <w:szCs w:val="21"/>
    </w:rPr>
  </w:style>
  <w:style w:type="paragraph" w:customStyle="1" w:styleId="143">
    <w:name w:val="xl71"/>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textAlignment w:val="center"/>
    </w:pPr>
    <w:rPr>
      <w:rFonts w:ascii="Times New Roman" w:hAnsi="Times New Roman"/>
      <w:kern w:val="0"/>
      <w:szCs w:val="21"/>
    </w:rPr>
  </w:style>
  <w:style w:type="paragraph" w:customStyle="1" w:styleId="144">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145">
    <w:name w:val="xl81"/>
    <w:basedOn w:val="1"/>
    <w:qFormat/>
    <w:uiPriority w:val="0"/>
    <w:pPr>
      <w:widowControl/>
      <w:pBdr>
        <w:top w:val="single" w:color="auto" w:sz="12" w:space="0"/>
        <w:bottom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46">
    <w:name w:val="TOC 标题1"/>
    <w:basedOn w:val="3"/>
    <w:next w:val="1"/>
    <w:qFormat/>
    <w:uiPriority w:val="39"/>
    <w:pPr>
      <w:keepNext w:val="0"/>
      <w:keepLines w:val="0"/>
      <w:widowControl/>
      <w:snapToGrid w:val="0"/>
      <w:spacing w:before="480" w:after="0" w:line="276" w:lineRule="auto"/>
      <w:jc w:val="center"/>
      <w:outlineLvl w:val="9"/>
    </w:pPr>
    <w:rPr>
      <w:rFonts w:ascii="Cambria" w:hAnsi="Cambria" w:eastAsia="仿宋" w:cs="楷体_GB2312"/>
      <w:bCs w:val="0"/>
      <w:color w:val="365F91"/>
      <w:kern w:val="0"/>
      <w:sz w:val="28"/>
      <w:szCs w:val="28"/>
      <w:lang w:eastAsia="zh-CN"/>
    </w:rPr>
  </w:style>
  <w:style w:type="paragraph" w:customStyle="1" w:styleId="147">
    <w:name w:val="p0"/>
    <w:basedOn w:val="1"/>
    <w:qFormat/>
    <w:uiPriority w:val="0"/>
    <w:pPr>
      <w:widowControl/>
      <w:spacing w:before="100" w:beforeAutospacing="1" w:after="100" w:afterAutospacing="1"/>
      <w:jc w:val="left"/>
    </w:pPr>
    <w:rPr>
      <w:rFonts w:ascii="宋体" w:hAnsi="宋体" w:eastAsia="等线" w:cs="宋体"/>
      <w:kern w:val="0"/>
      <w:sz w:val="24"/>
      <w:szCs w:val="24"/>
    </w:rPr>
  </w:style>
  <w:style w:type="paragraph" w:customStyle="1" w:styleId="148">
    <w:name w:val="xl69"/>
    <w:basedOn w:val="1"/>
    <w:qFormat/>
    <w:uiPriority w:val="0"/>
    <w:pPr>
      <w:widowControl/>
      <w:pBdr>
        <w:bottom w:val="single" w:color="auto" w:sz="8" w:space="0"/>
        <w:right w:val="single" w:color="auto" w:sz="12" w:space="0"/>
      </w:pBdr>
      <w:spacing w:before="100" w:beforeAutospacing="1" w:after="100" w:afterAutospacing="1"/>
      <w:jc w:val="center"/>
      <w:textAlignment w:val="center"/>
    </w:pPr>
    <w:rPr>
      <w:rFonts w:ascii="Times New Roman" w:hAnsi="Times New Roman"/>
      <w:kern w:val="0"/>
      <w:szCs w:val="21"/>
    </w:rPr>
  </w:style>
  <w:style w:type="paragraph" w:customStyle="1" w:styleId="149">
    <w:name w:val="目录 81"/>
    <w:basedOn w:val="1"/>
    <w:next w:val="1"/>
    <w:unhideWhenUsed/>
    <w:qFormat/>
    <w:uiPriority w:val="39"/>
    <w:pPr>
      <w:ind w:left="2940" w:leftChars="1400"/>
    </w:pPr>
    <w:rPr>
      <w:rFonts w:ascii="等线" w:hAnsi="等线" w:eastAsia="等线"/>
    </w:rPr>
  </w:style>
  <w:style w:type="paragraph" w:customStyle="1" w:styleId="150">
    <w:name w:val="Normal_0"/>
    <w:qFormat/>
    <w:uiPriority w:val="0"/>
    <w:rPr>
      <w:rFonts w:ascii="Times New Roman" w:hAnsi="Times New Roman" w:eastAsia="宋体" w:cs="Times New Roman"/>
      <w:sz w:val="24"/>
      <w:szCs w:val="24"/>
      <w:lang w:val="en-US" w:eastAsia="zh-CN" w:bidi="ar-SA"/>
    </w:rPr>
  </w:style>
  <w:style w:type="paragraph" w:customStyle="1" w:styleId="151">
    <w:name w:val="首行缩进"/>
    <w:basedOn w:val="1"/>
    <w:qFormat/>
    <w:uiPriority w:val="0"/>
    <w:pPr>
      <w:ind w:firstLine="200" w:firstLineChars="200"/>
    </w:pPr>
    <w:rPr>
      <w:lang w:val="zh-CN"/>
    </w:rPr>
  </w:style>
  <w:style w:type="paragraph" w:customStyle="1" w:styleId="152">
    <w:name w:val="Char Char1 Char Char Char1"/>
    <w:basedOn w:val="1"/>
    <w:qFormat/>
    <w:uiPriority w:val="0"/>
    <w:rPr>
      <w:rFonts w:ascii="Times New Roman" w:hAnsi="Times New Roman" w:eastAsia="等线"/>
      <w:sz w:val="24"/>
      <w:szCs w:val="24"/>
    </w:rPr>
  </w:style>
  <w:style w:type="paragraph" w:customStyle="1" w:styleId="153">
    <w:name w:val="修订1"/>
    <w:qFormat/>
    <w:uiPriority w:val="0"/>
    <w:rPr>
      <w:rFonts w:ascii="Times New Roman" w:hAnsi="Times New Roman" w:eastAsia="宋体" w:cs="Times New Roman"/>
      <w:kern w:val="2"/>
      <w:sz w:val="21"/>
      <w:szCs w:val="22"/>
      <w:lang w:val="en-US" w:eastAsia="zh-CN" w:bidi="ar-SA"/>
    </w:rPr>
  </w:style>
  <w:style w:type="paragraph" w:customStyle="1" w:styleId="154">
    <w:name w:val="xl88"/>
    <w:basedOn w:val="1"/>
    <w:qFormat/>
    <w:uiPriority w:val="0"/>
    <w:pPr>
      <w:widowControl/>
      <w:pBdr>
        <w:left w:val="single" w:color="auto" w:sz="8" w:space="0"/>
        <w:right w:val="single" w:color="auto" w:sz="12" w:space="0"/>
      </w:pBdr>
      <w:spacing w:before="100" w:beforeAutospacing="1" w:after="100" w:afterAutospacing="1"/>
      <w:jc w:val="center"/>
      <w:textAlignment w:val="center"/>
    </w:pPr>
    <w:rPr>
      <w:rFonts w:ascii="宋体" w:hAnsi="宋体" w:cs="宋体"/>
      <w:kern w:val="0"/>
      <w:szCs w:val="21"/>
    </w:rPr>
  </w:style>
  <w:style w:type="paragraph" w:customStyle="1" w:styleId="155">
    <w:name w:val="xl75"/>
    <w:basedOn w:val="1"/>
    <w:qFormat/>
    <w:uiPriority w:val="0"/>
    <w:pPr>
      <w:widowControl/>
      <w:pBdr>
        <w:bottom w:val="single" w:color="auto" w:sz="12"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5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7">
    <w:name w:val="目录 51"/>
    <w:basedOn w:val="1"/>
    <w:next w:val="1"/>
    <w:unhideWhenUsed/>
    <w:qFormat/>
    <w:uiPriority w:val="39"/>
    <w:pPr>
      <w:ind w:left="1680" w:leftChars="800"/>
    </w:pPr>
    <w:rPr>
      <w:rFonts w:ascii="等线" w:hAnsi="等线" w:eastAsia="等线"/>
    </w:rPr>
  </w:style>
  <w:style w:type="paragraph" w:customStyle="1" w:styleId="158">
    <w:name w:val="xl90"/>
    <w:basedOn w:val="1"/>
    <w:qFormat/>
    <w:uiPriority w:val="0"/>
    <w:pPr>
      <w:widowControl/>
      <w:pBdr>
        <w:left w:val="single" w:color="auto" w:sz="8" w:space="0"/>
        <w:right w:val="single" w:color="auto" w:sz="12" w:space="0"/>
      </w:pBdr>
      <w:spacing w:before="100" w:beforeAutospacing="1" w:after="100" w:afterAutospacing="1"/>
      <w:jc w:val="center"/>
      <w:textAlignment w:val="center"/>
    </w:pPr>
    <w:rPr>
      <w:rFonts w:ascii="宋体" w:hAnsi="宋体" w:cs="宋体"/>
      <w:kern w:val="0"/>
      <w:szCs w:val="21"/>
    </w:rPr>
  </w:style>
  <w:style w:type="paragraph" w:customStyle="1" w:styleId="159">
    <w:name w:val="xl80"/>
    <w:basedOn w:val="1"/>
    <w:qFormat/>
    <w:uiPriority w:val="0"/>
    <w:pPr>
      <w:widowControl/>
      <w:pBdr>
        <w:left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60">
    <w:name w:val="彩色列表 - 着色 1"/>
    <w:basedOn w:val="1"/>
    <w:qFormat/>
    <w:uiPriority w:val="34"/>
    <w:pPr>
      <w:ind w:firstLine="420" w:firstLineChars="200"/>
    </w:pPr>
    <w:rPr>
      <w:rFonts w:ascii="Calibri" w:hAnsi="Calibri" w:eastAsia="宋体" w:cs="Times New Roman"/>
    </w:rPr>
  </w:style>
  <w:style w:type="paragraph" w:customStyle="1" w:styleId="161">
    <w:name w:val="xl65"/>
    <w:basedOn w:val="1"/>
    <w:qFormat/>
    <w:uiPriority w:val="0"/>
    <w:pPr>
      <w:widowControl/>
      <w:pBdr>
        <w:bottom w:val="single" w:color="auto" w:sz="8" w:space="0"/>
        <w:right w:val="single" w:color="auto" w:sz="12" w:space="0"/>
      </w:pBdr>
      <w:spacing w:before="100" w:beforeAutospacing="1" w:after="100" w:afterAutospacing="1"/>
      <w:jc w:val="center"/>
      <w:textAlignment w:val="center"/>
    </w:pPr>
    <w:rPr>
      <w:rFonts w:ascii="宋体" w:hAnsi="宋体" w:cs="宋体"/>
      <w:kern w:val="0"/>
      <w:szCs w:val="21"/>
    </w:rPr>
  </w:style>
  <w:style w:type="paragraph" w:customStyle="1" w:styleId="162">
    <w:name w:val="xl72"/>
    <w:basedOn w:val="1"/>
    <w:qFormat/>
    <w:uiPriority w:val="0"/>
    <w:pPr>
      <w:widowControl/>
      <w:pBdr>
        <w:left w:val="single" w:color="auto" w:sz="12" w:space="0"/>
        <w:bottom w:val="single" w:color="auto" w:sz="12" w:space="0"/>
        <w:right w:val="single" w:color="auto" w:sz="8" w:space="0"/>
      </w:pBdr>
      <w:spacing w:before="100" w:beforeAutospacing="1" w:after="100" w:afterAutospacing="1"/>
      <w:jc w:val="center"/>
      <w:textAlignment w:val="center"/>
    </w:pPr>
    <w:rPr>
      <w:rFonts w:ascii="Times New Roman" w:hAnsi="Times New Roman"/>
      <w:kern w:val="0"/>
      <w:szCs w:val="21"/>
    </w:rPr>
  </w:style>
  <w:style w:type="paragraph" w:customStyle="1" w:styleId="163">
    <w:name w:val="xl73"/>
    <w:basedOn w:val="1"/>
    <w:qFormat/>
    <w:uiPriority w:val="0"/>
    <w:pPr>
      <w:widowControl/>
      <w:pBdr>
        <w:bottom w:val="single" w:color="auto" w:sz="12" w:space="0"/>
        <w:right w:val="single" w:color="auto" w:sz="8" w:space="0"/>
      </w:pBdr>
      <w:spacing w:before="100" w:beforeAutospacing="1" w:after="100" w:afterAutospacing="1"/>
      <w:jc w:val="center"/>
      <w:textAlignment w:val="center"/>
    </w:pPr>
    <w:rPr>
      <w:rFonts w:ascii="Times New Roman" w:hAnsi="Times New Roman"/>
      <w:kern w:val="0"/>
      <w:szCs w:val="21"/>
    </w:rPr>
  </w:style>
  <w:style w:type="paragraph" w:customStyle="1" w:styleId="164">
    <w:name w:val="AODocTxtL1"/>
    <w:basedOn w:val="1"/>
    <w:qFormat/>
    <w:uiPriority w:val="0"/>
    <w:pPr>
      <w:spacing w:before="156" w:beforeLines="50" w:after="156" w:afterLines="50" w:line="300" w:lineRule="auto"/>
      <w:ind w:left="420" w:leftChars="200" w:firstLine="480" w:firstLineChars="200"/>
      <w:jc w:val="left"/>
    </w:pPr>
    <w:rPr>
      <w:rFonts w:ascii="宋体" w:hAnsi="Times New Roman" w:eastAsia="等线" w:cs="Times New Roman"/>
      <w:bCs/>
      <w:color w:val="000000"/>
      <w:sz w:val="24"/>
      <w:szCs w:val="24"/>
      <w:lang w:val="en-GB"/>
    </w:rPr>
  </w:style>
  <w:style w:type="paragraph" w:customStyle="1" w:styleId="165">
    <w:name w:val="xl78"/>
    <w:basedOn w:val="1"/>
    <w:qFormat/>
    <w:uiPriority w:val="0"/>
    <w:pPr>
      <w:widowControl/>
      <w:pBdr>
        <w:left w:val="single" w:color="auto" w:sz="12"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66">
    <w:name w:val="列出段落2"/>
    <w:basedOn w:val="1"/>
    <w:qFormat/>
    <w:uiPriority w:val="34"/>
    <w:pPr>
      <w:ind w:firstLine="420" w:firstLineChars="200"/>
    </w:pPr>
    <w:rPr>
      <w:rFonts w:ascii="等线" w:hAnsi="等线" w:eastAsia="等线"/>
    </w:rPr>
  </w:style>
  <w:style w:type="paragraph" w:customStyle="1" w:styleId="167">
    <w:name w:val="font6"/>
    <w:basedOn w:val="1"/>
    <w:qFormat/>
    <w:uiPriority w:val="0"/>
    <w:pPr>
      <w:widowControl/>
      <w:spacing w:before="100" w:beforeAutospacing="1" w:after="100" w:afterAutospacing="1"/>
      <w:jc w:val="left"/>
    </w:pPr>
    <w:rPr>
      <w:rFonts w:ascii="Times New Roman" w:hAnsi="Times New Roman"/>
      <w:color w:val="000000"/>
      <w:kern w:val="0"/>
      <w:szCs w:val="21"/>
    </w:rPr>
  </w:style>
  <w:style w:type="paragraph" w:customStyle="1" w:styleId="168">
    <w:name w:val="xl63"/>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69">
    <w:name w:val=" Char Char Char Char Char Char Char"/>
    <w:basedOn w:val="1"/>
    <w:qFormat/>
    <w:uiPriority w:val="0"/>
    <w:pPr>
      <w:spacing w:line="240" w:lineRule="atLeast"/>
      <w:ind w:left="420" w:firstLine="420"/>
    </w:pPr>
    <w:rPr>
      <w:rFonts w:ascii="Times New Roman" w:hAnsi="Times New Roman" w:eastAsia="等线" w:cs="Times New Roman"/>
      <w:kern w:val="0"/>
      <w:szCs w:val="21"/>
    </w:rPr>
  </w:style>
  <w:style w:type="paragraph" w:customStyle="1" w:styleId="170">
    <w:name w:val="无间隔2"/>
    <w:qFormat/>
    <w:uiPriority w:val="0"/>
    <w:pPr>
      <w:widowControl w:val="0"/>
    </w:pPr>
    <w:rPr>
      <w:rFonts w:ascii="Times New Roman" w:hAnsi="Times New Roman" w:eastAsia="宋体" w:cs="Times New Roman"/>
      <w:sz w:val="22"/>
      <w:szCs w:val="22"/>
      <w:lang w:val="en-US" w:eastAsia="en-US" w:bidi="ar-SA"/>
    </w:rPr>
  </w:style>
  <w:style w:type="paragraph" w:customStyle="1" w:styleId="171">
    <w:name w:val="xl84"/>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72">
    <w:name w:val="xl74"/>
    <w:basedOn w:val="1"/>
    <w:qFormat/>
    <w:uiPriority w:val="0"/>
    <w:pPr>
      <w:widowControl/>
      <w:pBdr>
        <w:bottom w:val="single" w:color="auto" w:sz="12" w:space="0"/>
        <w:right w:val="single" w:color="auto" w:sz="8" w:space="0"/>
      </w:pBdr>
      <w:spacing w:before="100" w:beforeAutospacing="1" w:after="100" w:afterAutospacing="1"/>
      <w:jc w:val="center"/>
      <w:textAlignment w:val="center"/>
    </w:pPr>
    <w:rPr>
      <w:rFonts w:ascii="Times New Roman" w:hAnsi="Times New Roman"/>
      <w:kern w:val="0"/>
      <w:szCs w:val="21"/>
    </w:rPr>
  </w:style>
  <w:style w:type="paragraph" w:customStyle="1" w:styleId="173">
    <w:name w:val="Char"/>
    <w:basedOn w:val="1"/>
    <w:qFormat/>
    <w:uiPriority w:val="0"/>
    <w:rPr>
      <w:rFonts w:ascii="Times New Roman" w:hAnsi="Times New Roman" w:eastAsia="等线" w:cs="Times New Roman"/>
      <w:szCs w:val="24"/>
    </w:rPr>
  </w:style>
  <w:style w:type="paragraph" w:customStyle="1" w:styleId="174">
    <w:name w:val="目录 52"/>
    <w:basedOn w:val="1"/>
    <w:next w:val="1"/>
    <w:unhideWhenUsed/>
    <w:qFormat/>
    <w:uiPriority w:val="39"/>
    <w:pPr>
      <w:ind w:left="1680" w:leftChars="800"/>
    </w:pPr>
    <w:rPr>
      <w:rFonts w:ascii="等线" w:hAnsi="等线" w:eastAsia="等线"/>
    </w:rPr>
  </w:style>
  <w:style w:type="paragraph" w:customStyle="1" w:styleId="175">
    <w:name w:val="xl70"/>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textAlignment w:val="center"/>
    </w:pPr>
    <w:rPr>
      <w:rFonts w:ascii="Times New Roman" w:hAnsi="Times New Roman"/>
      <w:kern w:val="0"/>
      <w:szCs w:val="21"/>
    </w:rPr>
  </w:style>
  <w:style w:type="paragraph" w:customStyle="1" w:styleId="176">
    <w:name w:val="List Paragraph"/>
    <w:basedOn w:val="1"/>
    <w:qFormat/>
    <w:uiPriority w:val="0"/>
    <w:pPr>
      <w:ind w:firstLine="420" w:firstLineChars="200"/>
    </w:pPr>
    <w:rPr>
      <w:rFonts w:ascii="等线" w:hAnsi="等线" w:eastAsia="等线" w:cs="Times New Roman"/>
    </w:rPr>
  </w:style>
  <w:style w:type="paragraph" w:customStyle="1" w:styleId="177">
    <w:name w:val="xl64"/>
    <w:basedOn w:val="1"/>
    <w:qFormat/>
    <w:uiPriority w:val="0"/>
    <w:pPr>
      <w:widowControl/>
      <w:pBdr>
        <w:left w:val="single" w:color="auto" w:sz="12" w:space="0"/>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78">
    <w:name w:val="目录 72"/>
    <w:basedOn w:val="1"/>
    <w:next w:val="1"/>
    <w:unhideWhenUsed/>
    <w:qFormat/>
    <w:uiPriority w:val="39"/>
    <w:pPr>
      <w:ind w:left="2520" w:leftChars="1200"/>
    </w:pPr>
    <w:rPr>
      <w:rFonts w:ascii="等线" w:hAnsi="等线" w:eastAsia="等线"/>
    </w:rPr>
  </w:style>
  <w:style w:type="paragraph" w:customStyle="1" w:styleId="179">
    <w:name w:val="目录 42"/>
    <w:basedOn w:val="1"/>
    <w:next w:val="1"/>
    <w:unhideWhenUsed/>
    <w:qFormat/>
    <w:uiPriority w:val="39"/>
    <w:pPr>
      <w:ind w:left="1260" w:leftChars="600"/>
    </w:pPr>
    <w:rPr>
      <w:rFonts w:ascii="等线" w:hAnsi="等线" w:eastAsia="等线"/>
    </w:rPr>
  </w:style>
  <w:style w:type="paragraph" w:customStyle="1" w:styleId="180">
    <w:name w:val="目录 82"/>
    <w:basedOn w:val="1"/>
    <w:next w:val="1"/>
    <w:unhideWhenUsed/>
    <w:qFormat/>
    <w:uiPriority w:val="39"/>
    <w:pPr>
      <w:ind w:left="2940" w:leftChars="1400"/>
    </w:pPr>
    <w:rPr>
      <w:rFonts w:ascii="等线" w:hAnsi="等线" w:eastAsia="等线"/>
    </w:rPr>
  </w:style>
  <w:style w:type="paragraph" w:customStyle="1" w:styleId="181">
    <w:name w:val="表格"/>
    <w:basedOn w:val="1"/>
    <w:next w:val="14"/>
    <w:qFormat/>
    <w:uiPriority w:val="0"/>
    <w:pPr>
      <w:adjustRightInd w:val="0"/>
      <w:snapToGrid w:val="0"/>
      <w:jc w:val="center"/>
    </w:pPr>
    <w:rPr>
      <w:rFonts w:ascii="宋体" w:hAnsi="宋体"/>
      <w:szCs w:val="21"/>
    </w:rPr>
  </w:style>
  <w:style w:type="paragraph" w:customStyle="1" w:styleId="182">
    <w:name w:val="彩色底纹 - 着色 1"/>
    <w:semiHidden/>
    <w:qFormat/>
    <w:uiPriority w:val="99"/>
    <w:rPr>
      <w:rFonts w:ascii="Times New Roman" w:hAnsi="Times New Roman" w:eastAsia="宋体" w:cs="Times New Roman"/>
      <w:kern w:val="2"/>
      <w:sz w:val="21"/>
      <w:szCs w:val="22"/>
      <w:lang w:val="en-US" w:eastAsia="zh-CN" w:bidi="ar-SA"/>
    </w:rPr>
  </w:style>
  <w:style w:type="paragraph" w:customStyle="1" w:styleId="183">
    <w:name w:val="中等深浅网格 21"/>
    <w:qFormat/>
    <w:uiPriority w:val="0"/>
    <w:pPr>
      <w:widowControl w:val="0"/>
    </w:pPr>
    <w:rPr>
      <w:rFonts w:ascii="Times New Roman" w:hAnsi="Times New Roman" w:eastAsia="宋体" w:cs="Times New Roman"/>
      <w:sz w:val="22"/>
      <w:szCs w:val="22"/>
      <w:lang w:val="en-US" w:eastAsia="en-US" w:bidi="ar-SA"/>
    </w:rPr>
  </w:style>
  <w:style w:type="paragraph" w:customStyle="1" w:styleId="184">
    <w:name w:val="无间隔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5">
    <w:name w:val="xl79"/>
    <w:basedOn w:val="1"/>
    <w:qFormat/>
    <w:uiPriority w:val="0"/>
    <w:pPr>
      <w:widowControl/>
      <w:pBdr>
        <w:top w:val="single" w:color="auto" w:sz="12" w:space="0"/>
        <w:left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86">
    <w:name w:val="xl89"/>
    <w:basedOn w:val="1"/>
    <w:qFormat/>
    <w:uiPriority w:val="0"/>
    <w:pPr>
      <w:widowControl/>
      <w:pBdr>
        <w:top w:val="single" w:color="auto" w:sz="12" w:space="0"/>
        <w:left w:val="single" w:color="auto" w:sz="8" w:space="0"/>
        <w:right w:val="single" w:color="auto" w:sz="12" w:space="0"/>
      </w:pBdr>
      <w:spacing w:before="100" w:beforeAutospacing="1" w:after="100" w:afterAutospacing="1"/>
      <w:jc w:val="center"/>
      <w:textAlignment w:val="center"/>
    </w:pPr>
    <w:rPr>
      <w:rFonts w:ascii="宋体" w:hAnsi="宋体" w:cs="宋体"/>
      <w:kern w:val="0"/>
      <w:szCs w:val="21"/>
    </w:rPr>
  </w:style>
  <w:style w:type="paragraph" w:customStyle="1" w:styleId="187">
    <w:name w:val="目录 91"/>
    <w:basedOn w:val="1"/>
    <w:next w:val="1"/>
    <w:unhideWhenUsed/>
    <w:qFormat/>
    <w:uiPriority w:val="39"/>
    <w:pPr>
      <w:ind w:left="3360" w:leftChars="1600"/>
    </w:pPr>
    <w:rPr>
      <w:rFonts w:ascii="等线" w:hAnsi="等线" w:eastAsia="等线"/>
    </w:rPr>
  </w:style>
  <w:style w:type="paragraph" w:customStyle="1" w:styleId="188">
    <w:name w:val=" Char Char1 Char Char Char"/>
    <w:basedOn w:val="1"/>
    <w:qFormat/>
    <w:uiPriority w:val="0"/>
    <w:rPr>
      <w:rFonts w:ascii="Times New Roman" w:hAnsi="Times New Roman" w:eastAsia="等线" w:cs="Times New Roman"/>
      <w:szCs w:val="24"/>
    </w:rPr>
  </w:style>
  <w:style w:type="paragraph" w:customStyle="1" w:styleId="189">
    <w:name w:val="Revision"/>
    <w:qFormat/>
    <w:uiPriority w:val="0"/>
    <w:rPr>
      <w:rFonts w:ascii="Times New Roman" w:hAnsi="Times New Roman" w:eastAsia="宋体" w:cs="Times New Roman"/>
      <w:kern w:val="2"/>
      <w:sz w:val="21"/>
      <w:szCs w:val="22"/>
      <w:lang w:val="en-US" w:eastAsia="zh-CN" w:bidi="ar-SA"/>
    </w:rPr>
  </w:style>
  <w:style w:type="paragraph" w:customStyle="1" w:styleId="190">
    <w:name w:val="xl82"/>
    <w:basedOn w:val="1"/>
    <w:qFormat/>
    <w:uiPriority w:val="0"/>
    <w:pPr>
      <w:widowControl/>
      <w:pBdr>
        <w:top w:val="single" w:color="auto" w:sz="12" w:space="0"/>
        <w:left w:val="single" w:color="auto" w:sz="8" w:space="0"/>
        <w:bottom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91">
    <w:name w:val="目录 92"/>
    <w:basedOn w:val="1"/>
    <w:next w:val="1"/>
    <w:unhideWhenUsed/>
    <w:qFormat/>
    <w:uiPriority w:val="39"/>
    <w:pPr>
      <w:ind w:left="3360" w:leftChars="1600"/>
    </w:pPr>
    <w:rPr>
      <w:rFonts w:ascii="等线" w:hAnsi="等线" w:eastAsia="等线"/>
    </w:rPr>
  </w:style>
  <w:style w:type="paragraph" w:customStyle="1" w:styleId="192">
    <w:name w:val="No Spacing"/>
    <w:qFormat/>
    <w:uiPriority w:val="0"/>
    <w:pPr>
      <w:widowControl w:val="0"/>
    </w:pPr>
    <w:rPr>
      <w:rFonts w:ascii="Times New Roman" w:hAnsi="Times New Roman" w:eastAsia="宋体" w:cs="Times New Roman"/>
      <w:sz w:val="22"/>
      <w:szCs w:val="22"/>
      <w:lang w:val="en-US" w:eastAsia="en-US" w:bidi="ar-SA"/>
    </w:rPr>
  </w:style>
  <w:style w:type="paragraph" w:customStyle="1" w:styleId="193">
    <w:name w:val="Table Paragraph"/>
    <w:basedOn w:val="1"/>
    <w:qFormat/>
    <w:uiPriority w:val="0"/>
    <w:pPr>
      <w:jc w:val="left"/>
    </w:pPr>
    <w:rPr>
      <w:rFonts w:ascii="等线" w:hAnsi="等线" w:eastAsia="等线" w:cs="Times New Roman"/>
      <w:kern w:val="0"/>
      <w:sz w:val="22"/>
      <w:lang w:eastAsia="en-US"/>
    </w:rPr>
  </w:style>
  <w:style w:type="paragraph" w:customStyle="1" w:styleId="194">
    <w:name w:val="xl85"/>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95">
    <w:name w:val="xl86"/>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96">
    <w:name w:val="目录 71"/>
    <w:basedOn w:val="1"/>
    <w:next w:val="1"/>
    <w:unhideWhenUsed/>
    <w:qFormat/>
    <w:uiPriority w:val="39"/>
    <w:pPr>
      <w:ind w:left="2520" w:leftChars="1200"/>
    </w:pPr>
    <w:rPr>
      <w:rFonts w:ascii="等线" w:hAnsi="等线" w:eastAsia="等线"/>
    </w:rPr>
  </w:style>
  <w:style w:type="paragraph" w:customStyle="1" w:styleId="197">
    <w:name w:val="Char Char Char Char Char Char Char"/>
    <w:basedOn w:val="1"/>
    <w:qFormat/>
    <w:uiPriority w:val="0"/>
    <w:pPr>
      <w:spacing w:line="240" w:lineRule="atLeast"/>
      <w:ind w:left="420" w:firstLine="420"/>
    </w:pPr>
    <w:rPr>
      <w:rFonts w:ascii="Times New Roman" w:hAnsi="Times New Roman" w:eastAsia="等线"/>
      <w:kern w:val="0"/>
      <w:szCs w:val="21"/>
    </w:rPr>
  </w:style>
  <w:style w:type="paragraph" w:customStyle="1" w:styleId="198">
    <w:name w:val="xl83"/>
    <w:basedOn w:val="1"/>
    <w:qFormat/>
    <w:uiPriority w:val="0"/>
    <w:pPr>
      <w:widowControl/>
      <w:pBdr>
        <w:top w:val="single" w:color="auto" w:sz="12" w:space="0"/>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99">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0">
    <w:name w:val="Char Char1 Char Char Char"/>
    <w:basedOn w:val="1"/>
    <w:qFormat/>
    <w:uiPriority w:val="0"/>
    <w:rPr>
      <w:rFonts w:ascii="Times New Roman" w:hAnsi="Times New Roman" w:eastAsia="等线"/>
      <w:szCs w:val="24"/>
    </w:rPr>
  </w:style>
  <w:style w:type="paragraph" w:customStyle="1" w:styleId="201">
    <w:name w:val="二级条标题"/>
    <w:basedOn w:val="1"/>
    <w:next w:val="1"/>
    <w:qFormat/>
    <w:uiPriority w:val="0"/>
    <w:pPr>
      <w:widowControl/>
      <w:tabs>
        <w:tab w:val="left" w:pos="1080"/>
      </w:tabs>
      <w:ind w:left="1080" w:hanging="1080"/>
      <w:outlineLvl w:val="3"/>
    </w:pPr>
    <w:rPr>
      <w:rFonts w:ascii="黑体" w:hAnsi="Times New Roman" w:eastAsia="黑体"/>
      <w:szCs w:val="20"/>
    </w:rPr>
  </w:style>
  <w:style w:type="paragraph" w:customStyle="1" w:styleId="202">
    <w:name w:val="标题 21"/>
    <w:basedOn w:val="1"/>
    <w:qFormat/>
    <w:uiPriority w:val="0"/>
    <w:pPr>
      <w:jc w:val="left"/>
      <w:outlineLvl w:val="2"/>
    </w:pPr>
    <w:rPr>
      <w:rFonts w:ascii="宋体" w:hAnsi="宋体" w:eastAsia="等线" w:cs="Times New Roman"/>
      <w:kern w:val="0"/>
      <w:sz w:val="26"/>
      <w:szCs w:val="26"/>
      <w:lang w:eastAsia="en-US"/>
    </w:rPr>
  </w:style>
  <w:style w:type="paragraph" w:customStyle="1" w:styleId="203">
    <w:name w:val="xl68"/>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Times New Roman" w:hAnsi="Times New Roman"/>
      <w:kern w:val="0"/>
      <w:szCs w:val="21"/>
    </w:rPr>
  </w:style>
  <w:style w:type="paragraph" w:customStyle="1" w:styleId="204">
    <w:name w:val="xl77"/>
    <w:basedOn w:val="1"/>
    <w:qFormat/>
    <w:uiPriority w:val="0"/>
    <w:pPr>
      <w:widowControl/>
      <w:pBdr>
        <w:top w:val="single" w:color="auto" w:sz="12" w:space="0"/>
        <w:left w:val="single" w:color="auto" w:sz="12"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205">
    <w:name w:val="目录 61"/>
    <w:basedOn w:val="1"/>
    <w:next w:val="1"/>
    <w:unhideWhenUsed/>
    <w:qFormat/>
    <w:uiPriority w:val="39"/>
    <w:pPr>
      <w:ind w:left="2100" w:leftChars="1000"/>
    </w:pPr>
    <w:rPr>
      <w:rFonts w:ascii="等线" w:hAnsi="等线" w:eastAsia="等线"/>
    </w:rPr>
  </w:style>
  <w:style w:type="paragraph" w:customStyle="1" w:styleId="206">
    <w:name w:val="xl87"/>
    <w:basedOn w:val="1"/>
    <w:qFormat/>
    <w:uiPriority w:val="0"/>
    <w:pPr>
      <w:widowControl/>
      <w:pBdr>
        <w:top w:val="single" w:color="auto" w:sz="12" w:space="0"/>
        <w:left w:val="single" w:color="auto" w:sz="8" w:space="0"/>
        <w:right w:val="single" w:color="auto" w:sz="12" w:space="0"/>
      </w:pBdr>
      <w:spacing w:before="100" w:beforeAutospacing="1" w:after="100" w:afterAutospacing="1"/>
      <w:jc w:val="center"/>
      <w:textAlignment w:val="center"/>
    </w:pPr>
    <w:rPr>
      <w:rFonts w:ascii="宋体" w:hAnsi="宋体" w:cs="宋体"/>
      <w:kern w:val="0"/>
      <w:szCs w:val="21"/>
    </w:rPr>
  </w:style>
  <w:style w:type="paragraph" w:customStyle="1" w:styleId="207">
    <w:name w:val="列表段落1"/>
    <w:basedOn w:val="1"/>
    <w:qFormat/>
    <w:uiPriority w:val="0"/>
    <w:pPr>
      <w:ind w:firstLine="420" w:firstLineChars="200"/>
    </w:pPr>
    <w:rPr>
      <w:rFonts w:ascii="等线" w:hAnsi="等线" w:eastAsia="等线"/>
    </w:rPr>
  </w:style>
  <w:style w:type="paragraph" w:customStyle="1" w:styleId="208">
    <w:name w:val="彩色列表 - 强调文字颜色 11"/>
    <w:basedOn w:val="1"/>
    <w:qFormat/>
    <w:uiPriority w:val="34"/>
    <w:pPr>
      <w:ind w:firstLine="420" w:firstLineChars="200"/>
    </w:pPr>
    <w:rPr>
      <w:rFonts w:ascii="等线" w:hAnsi="等线" w:eastAsia="等线" w:cs="Times New Roman"/>
    </w:rPr>
  </w:style>
  <w:style w:type="paragraph" w:customStyle="1" w:styleId="209">
    <w:name w:val="规范文本"/>
    <w:basedOn w:val="20"/>
    <w:qFormat/>
    <w:uiPriority w:val="0"/>
    <w:pPr>
      <w:adjustRightInd w:val="0"/>
      <w:snapToGrid w:val="0"/>
      <w:spacing w:line="360" w:lineRule="exact"/>
      <w:ind w:firstLine="420"/>
    </w:pPr>
    <w:rPr>
      <w:rFonts w:ascii="等线" w:hAnsi="等线" w:eastAsia="等线" w:cs="Times New Roman"/>
      <w:kern w:val="0"/>
      <w:szCs w:val="20"/>
    </w:rPr>
  </w:style>
  <w:style w:type="paragraph" w:customStyle="1" w:styleId="210">
    <w:name w:val="font5"/>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211">
    <w:name w:val="列出段落11"/>
    <w:basedOn w:val="1"/>
    <w:qFormat/>
    <w:uiPriority w:val="0"/>
    <w:pPr>
      <w:ind w:firstLine="420" w:firstLineChars="200"/>
    </w:pPr>
    <w:rPr>
      <w:rFonts w:ascii="等线" w:hAnsi="等线" w:eastAsia="等线"/>
      <w:szCs w:val="24"/>
    </w:rPr>
  </w:style>
  <w:style w:type="paragraph" w:customStyle="1" w:styleId="212">
    <w:name w:val="目录 62"/>
    <w:basedOn w:val="1"/>
    <w:next w:val="1"/>
    <w:unhideWhenUsed/>
    <w:qFormat/>
    <w:uiPriority w:val="39"/>
    <w:pPr>
      <w:ind w:left="2100" w:leftChars="1000"/>
    </w:pPr>
    <w:rPr>
      <w:rFonts w:ascii="等线" w:hAnsi="等线" w:eastAsia="等线"/>
    </w:rPr>
  </w:style>
  <w:style w:type="paragraph" w:customStyle="1" w:styleId="213">
    <w:name w:val="_Style 3"/>
    <w:basedOn w:val="1"/>
    <w:qFormat/>
    <w:uiPriority w:val="34"/>
    <w:pPr>
      <w:ind w:firstLine="420" w:firstLineChars="200"/>
    </w:pPr>
    <w:rPr>
      <w:rFonts w:ascii="Calibri" w:hAnsi="Calibri" w:eastAsia="宋体" w:cs="Times New Roman"/>
      <w:szCs w:val="22"/>
    </w:rPr>
  </w:style>
  <w:style w:type="paragraph" w:customStyle="1" w:styleId="21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5">
    <w:name w:val="xl67"/>
    <w:basedOn w:val="1"/>
    <w:qFormat/>
    <w:uiPriority w:val="0"/>
    <w:pPr>
      <w:widowControl/>
      <w:pBdr>
        <w:left w:val="single" w:color="auto" w:sz="12" w:space="0"/>
        <w:bottom w:val="single" w:color="auto" w:sz="8" w:space="0"/>
        <w:right w:val="single" w:color="auto" w:sz="8" w:space="0"/>
      </w:pBdr>
      <w:spacing w:before="100" w:beforeAutospacing="1" w:after="100" w:afterAutospacing="1"/>
      <w:jc w:val="center"/>
      <w:textAlignment w:val="center"/>
    </w:pPr>
    <w:rPr>
      <w:rFonts w:ascii="Times New Roman" w:hAnsi="Times New Roman"/>
      <w:kern w:val="0"/>
      <w:szCs w:val="21"/>
    </w:rPr>
  </w:style>
  <w:style w:type="paragraph" w:customStyle="1" w:styleId="216">
    <w:name w:val="修订11"/>
    <w:qFormat/>
    <w:uiPriority w:val="0"/>
    <w:rPr>
      <w:rFonts w:ascii="Times New Roman" w:hAnsi="Times New Roman" w:eastAsia="宋体" w:cs="Times New Roman"/>
      <w:kern w:val="2"/>
      <w:sz w:val="21"/>
      <w:szCs w:val="22"/>
      <w:lang w:val="en-US" w:eastAsia="zh-CN" w:bidi="ar-SA"/>
    </w:rPr>
  </w:style>
  <w:style w:type="paragraph" w:customStyle="1" w:styleId="217">
    <w:name w:val="_Style 1"/>
    <w:basedOn w:val="1"/>
    <w:qFormat/>
    <w:uiPriority w:val="0"/>
    <w:pPr>
      <w:ind w:firstLine="420" w:firstLineChars="200"/>
    </w:pPr>
    <w:rPr>
      <w:rFonts w:ascii="等线" w:hAnsi="等线" w:eastAsia="等线" w:cs="Times New Roman"/>
    </w:rPr>
  </w:style>
  <w:style w:type="paragraph" w:customStyle="1" w:styleId="218">
    <w:name w:val="title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19">
    <w:name w:val="楷体粗正文文字"/>
    <w:basedOn w:val="1"/>
    <w:next w:val="31"/>
    <w:qFormat/>
    <w:uiPriority w:val="0"/>
    <w:pPr>
      <w:snapToGrid w:val="0"/>
      <w:spacing w:line="480" w:lineRule="exact"/>
      <w:ind w:firstLine="560"/>
    </w:pPr>
    <w:rPr>
      <w:rFonts w:ascii="Times New Roman" w:hAnsi="Times New Roman" w:eastAsia="宋体" w:cs="Times New Roman"/>
      <w:sz w:val="28"/>
      <w:szCs w:val="20"/>
    </w:rPr>
  </w:style>
  <w:style w:type="paragraph" w:customStyle="1" w:styleId="220">
    <w:name w:val="目录 41"/>
    <w:basedOn w:val="1"/>
    <w:next w:val="1"/>
    <w:unhideWhenUsed/>
    <w:qFormat/>
    <w:uiPriority w:val="39"/>
    <w:pPr>
      <w:ind w:left="1260" w:leftChars="600"/>
    </w:pPr>
    <w:rPr>
      <w:rFonts w:ascii="等线" w:hAnsi="等线" w:eastAsia="等线"/>
    </w:rPr>
  </w:style>
  <w:style w:type="table" w:customStyle="1" w:styleId="221">
    <w:name w:val="网格型3"/>
    <w:basedOn w:val="39"/>
    <w:qFormat/>
    <w:uiPriority w:val="0"/>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2">
    <w:name w:val="Table Normal1"/>
    <w:qFormat/>
    <w:uiPriority w:val="0"/>
    <w:pPr>
      <w:widowControl w:val="0"/>
    </w:pPr>
    <w:rPr>
      <w:sz w:val="22"/>
      <w:szCs w:val="22"/>
      <w:lang w:val="en-US" w:eastAsia="en-US" w:bidi="ar-SA"/>
    </w:rPr>
    <w:tblPr>
      <w:tblCellMar>
        <w:top w:w="0" w:type="dxa"/>
        <w:left w:w="0" w:type="dxa"/>
        <w:bottom w:w="0" w:type="dxa"/>
        <w:right w:w="0" w:type="dxa"/>
      </w:tblCellMar>
    </w:tblPr>
  </w:style>
  <w:style w:type="table" w:customStyle="1" w:styleId="223">
    <w:name w:val="Table Normal12"/>
    <w:qFormat/>
    <w:uiPriority w:val="0"/>
    <w:pPr>
      <w:widowControl w:val="0"/>
    </w:pPr>
    <w:rPr>
      <w:sz w:val="22"/>
      <w:lang w:val="en-US" w:eastAsia="en-US" w:bidi="ar-SA"/>
    </w:rPr>
    <w:tblPr>
      <w:tblCellMar>
        <w:top w:w="0" w:type="dxa"/>
        <w:left w:w="0" w:type="dxa"/>
        <w:bottom w:w="0" w:type="dxa"/>
        <w:right w:w="0" w:type="dxa"/>
      </w:tblCellMar>
    </w:tblPr>
  </w:style>
  <w:style w:type="table" w:customStyle="1" w:styleId="224">
    <w:name w:val="Table Normal11"/>
    <w:qFormat/>
    <w:uiPriority w:val="0"/>
    <w:pPr>
      <w:widowControl w:val="0"/>
    </w:pPr>
    <w:rPr>
      <w:sz w:val="22"/>
      <w:lang w:val="en-US" w:eastAsia="en-US" w:bidi="ar-SA"/>
    </w:rPr>
    <w:tblPr>
      <w:tblCellMar>
        <w:top w:w="0" w:type="dxa"/>
        <w:left w:w="0" w:type="dxa"/>
        <w:bottom w:w="0" w:type="dxa"/>
        <w:right w:w="0" w:type="dxa"/>
      </w:tblCellMar>
    </w:tblPr>
  </w:style>
  <w:style w:type="table" w:customStyle="1" w:styleId="225">
    <w:name w:val="网格型4"/>
    <w:basedOn w:val="39"/>
    <w:unhideWhenUsed/>
    <w:qFormat/>
    <w:uiPriority w:val="99"/>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6">
    <w:name w:val="网格型1"/>
    <w:basedOn w:val="39"/>
    <w:qFormat/>
    <w:uiPriority w:val="0"/>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7">
    <w:name w:val="网格型2"/>
    <w:basedOn w:val="39"/>
    <w:qFormat/>
    <w:uiPriority w:val="0"/>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8">
    <w:name w:val="TableGrid"/>
    <w:qFormat/>
    <w:uiPriority w:val="0"/>
    <w:tblPr>
      <w:tblCellMar>
        <w:top w:w="0" w:type="dxa"/>
        <w:left w:w="0" w:type="dxa"/>
        <w:bottom w:w="0" w:type="dxa"/>
        <w:right w:w="0" w:type="dxa"/>
      </w:tblCellMar>
    </w:tblPr>
  </w:style>
  <w:style w:type="paragraph" w:customStyle="1" w:styleId="229">
    <w:name w:val="*正文"/>
    <w:basedOn w:val="1"/>
    <w:next w:val="1"/>
    <w:qFormat/>
    <w:uiPriority w:val="0"/>
    <w:pPr>
      <w:widowControl/>
      <w:ind w:firstLine="482"/>
    </w:pPr>
    <w:rPr>
      <w:rFonts w:ascii="微软雅黑" w:hAnsi="微软雅黑" w:eastAsia="微软雅黑"/>
      <w:sz w:val="21"/>
    </w:rPr>
  </w:style>
  <w:style w:type="character" w:customStyle="1" w:styleId="230">
    <w:name w:val="16"/>
    <w:basedOn w:val="41"/>
    <w:qFormat/>
    <w:uiPriority w:val="0"/>
    <w:rPr>
      <w:rFonts w:hint="default" w:ascii="Times New Roman" w:hAnsi="Times New Roman" w:cs="Times New Roman"/>
      <w:sz w:val="21"/>
      <w:szCs w:val="21"/>
    </w:rPr>
  </w:style>
  <w:style w:type="paragraph" w:customStyle="1" w:styleId="231">
    <w:name w:val="LC主要特点"/>
    <w:basedOn w:val="1"/>
    <w:autoRedefine/>
    <w:qFormat/>
    <w:uiPriority w:val="0"/>
    <w:rPr>
      <w:rFonts w:ascii="Arial" w:hAnsi="Arial" w:eastAsia="微软雅黑"/>
      <w:b/>
    </w:rPr>
  </w:style>
  <w:style w:type="paragraph" w:customStyle="1" w:styleId="232">
    <w:name w:val="LC 文字内容 带符号编码"/>
    <w:next w:val="1"/>
    <w:autoRedefine/>
    <w:qFormat/>
    <w:uiPriority w:val="0"/>
    <w:pPr>
      <w:numPr>
        <w:ilvl w:val="0"/>
        <w:numId w:val="1"/>
      </w:numPr>
      <w:adjustRightInd w:val="0"/>
      <w:snapToGrid w:val="0"/>
      <w:jc w:val="both"/>
    </w:pPr>
    <w:rPr>
      <w:rFonts w:ascii="Arial" w:hAnsi="Arial" w:eastAsia="微软雅黑" w:cs="Arial"/>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14776</Words>
  <Characters>15985</Characters>
  <Lines>328</Lines>
  <Paragraphs>92</Paragraphs>
  <TotalTime>13</TotalTime>
  <ScaleCrop>false</ScaleCrop>
  <LinksUpToDate>false</LinksUpToDate>
  <CharactersWithSpaces>17831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2019-05-05T05:48:00Z</dcterms:created>
  <dc:creator>Administrator</dc:creator>
  <cp:lastModifiedBy>A 亮华成</cp:lastModifiedBy>
  <cp:lastPrinted>2023-04-06T08:19:00Z</cp:lastPrinted>
  <dcterms:modified xsi:type="dcterms:W3CDTF">2025-06-05T08:29:42Z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9AC03078A9E344FCB1B580D5F873D634_13</vt:lpwstr>
  </property>
  <property fmtid="{D5CDD505-2E9C-101B-9397-08002B2CF9AE}" pid="4" name="KSOTemplateDocerSaveRecord">
    <vt:lpwstr>eyJoZGlkIjoiZDcxYTVmNmYxN2JjNjk3ZjUzMjU3YWFjZDQ4ZGM1ZDciLCJ1c2VySWQiOiI3NjU3MTAxOTIifQ==</vt:lpwstr>
  </property>
</Properties>
</file>