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669F0">
      <w:pPr>
        <w:pStyle w:val="10"/>
        <w:keepNext w:val="0"/>
        <w:keepLines w:val="0"/>
        <w:pageBreakBefore w:val="0"/>
        <w:widowControl w:val="0"/>
        <w:tabs>
          <w:tab w:val="center" w:pos="4426"/>
          <w:tab w:val="left" w:pos="57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Theme="minorEastAsia" w:cstheme="minorBidi"/>
          <w:b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Theme="minorEastAsia" w:cstheme="minorBidi"/>
          <w:b/>
          <w:bCs/>
          <w:color w:val="000000"/>
          <w:kern w:val="2"/>
          <w:sz w:val="32"/>
          <w:szCs w:val="32"/>
          <w:lang w:val="en-US" w:eastAsia="zh-CN" w:bidi="ar-SA"/>
        </w:rPr>
        <w:tab/>
      </w:r>
      <w:r>
        <w:rPr>
          <w:rFonts w:hint="eastAsia" w:ascii="宋体" w:hAnsi="宋体" w:eastAsiaTheme="minorEastAsia" w:cstheme="minorBidi"/>
          <w:b/>
          <w:bCs/>
          <w:color w:val="000000"/>
          <w:kern w:val="2"/>
          <w:sz w:val="32"/>
          <w:szCs w:val="32"/>
          <w:lang w:val="en-US" w:eastAsia="zh-CN" w:bidi="ar-SA"/>
        </w:rPr>
        <w:t>报价单</w:t>
      </w:r>
    </w:p>
    <w:p w14:paraId="69CE87D5">
      <w:pPr>
        <w:pStyle w:val="1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参选人</w:t>
      </w:r>
      <w:r>
        <w:rPr>
          <w:rFonts w:hint="eastAsia" w:ascii="宋体" w:hAnsi="宋体"/>
          <w:sz w:val="28"/>
          <w:szCs w:val="28"/>
        </w:rPr>
        <w:t>名称（加盖公章）：</w:t>
      </w:r>
    </w:p>
    <w:p w14:paraId="2A2E0F60">
      <w:pPr>
        <w:pStyle w:val="10"/>
        <w:spacing w:line="360" w:lineRule="auto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项目名称：</w:t>
      </w:r>
    </w:p>
    <w:tbl>
      <w:tblPr>
        <w:tblStyle w:val="8"/>
        <w:tblW w:w="498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8"/>
        <w:gridCol w:w="4204"/>
        <w:gridCol w:w="2913"/>
      </w:tblGrid>
      <w:tr w14:paraId="5A18A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3368" w:type="pct"/>
            <w:gridSpan w:val="2"/>
            <w:noWrap w:val="0"/>
            <w:vAlign w:val="center"/>
          </w:tcPr>
          <w:p w14:paraId="078062DA">
            <w:pPr>
              <w:pStyle w:val="10"/>
              <w:spacing w:line="440" w:lineRule="exact"/>
              <w:ind w:firstLine="560" w:firstLineChars="20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投标总报价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折扣费率</w:t>
            </w:r>
            <w:r>
              <w:rPr>
                <w:rFonts w:hint="eastAsia" w:ascii="宋体" w:hAnsi="宋体"/>
                <w:sz w:val="28"/>
                <w:szCs w:val="28"/>
              </w:rPr>
              <w:t>）</w:t>
            </w:r>
          </w:p>
        </w:tc>
        <w:tc>
          <w:tcPr>
            <w:tcW w:w="1632" w:type="pct"/>
            <w:noWrap w:val="0"/>
            <w:vAlign w:val="center"/>
          </w:tcPr>
          <w:p w14:paraId="5EA7E47C">
            <w:pPr>
              <w:pStyle w:val="10"/>
              <w:spacing w:line="440" w:lineRule="exact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服务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内容</w:t>
            </w:r>
          </w:p>
        </w:tc>
      </w:tr>
      <w:tr w14:paraId="02229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13" w:type="pct"/>
            <w:noWrap w:val="0"/>
            <w:vAlign w:val="center"/>
          </w:tcPr>
          <w:p w14:paraId="5ACD2B98">
            <w:pPr>
              <w:pStyle w:val="10"/>
              <w:spacing w:line="440" w:lineRule="exact"/>
              <w:ind w:firstLine="560" w:firstLineChars="2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大写</w:t>
            </w:r>
          </w:p>
        </w:tc>
        <w:tc>
          <w:tcPr>
            <w:tcW w:w="2355" w:type="pct"/>
            <w:noWrap w:val="0"/>
            <w:vAlign w:val="center"/>
          </w:tcPr>
          <w:p w14:paraId="7C038526">
            <w:pPr>
              <w:pStyle w:val="10"/>
              <w:spacing w:line="440" w:lineRule="exac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百分之 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8"/>
                <w:szCs w:val="28"/>
              </w:rPr>
              <w:t>。</w:t>
            </w:r>
          </w:p>
        </w:tc>
        <w:tc>
          <w:tcPr>
            <w:tcW w:w="1632" w:type="pct"/>
            <w:vMerge w:val="restart"/>
            <w:noWrap w:val="0"/>
            <w:vAlign w:val="center"/>
          </w:tcPr>
          <w:p w14:paraId="437C64CC">
            <w:pPr>
              <w:pStyle w:val="10"/>
              <w:spacing w:line="440" w:lineRule="exact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6231B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13" w:type="pct"/>
            <w:noWrap w:val="0"/>
            <w:vAlign w:val="center"/>
          </w:tcPr>
          <w:p w14:paraId="4F026B7E">
            <w:pPr>
              <w:pStyle w:val="10"/>
              <w:spacing w:line="440" w:lineRule="exact"/>
              <w:ind w:firstLine="560" w:firstLineChars="2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小写</w:t>
            </w:r>
          </w:p>
        </w:tc>
        <w:tc>
          <w:tcPr>
            <w:tcW w:w="2355" w:type="pct"/>
            <w:noWrap w:val="0"/>
            <w:vAlign w:val="center"/>
          </w:tcPr>
          <w:p w14:paraId="43298E5F">
            <w:pPr>
              <w:pStyle w:val="10"/>
              <w:spacing w:line="440" w:lineRule="exac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8"/>
                <w:szCs w:val="28"/>
              </w:rPr>
              <w:t>%</w:t>
            </w:r>
          </w:p>
        </w:tc>
        <w:tc>
          <w:tcPr>
            <w:tcW w:w="1632" w:type="pct"/>
            <w:vMerge w:val="continue"/>
            <w:noWrap w:val="0"/>
            <w:vAlign w:val="center"/>
          </w:tcPr>
          <w:p w14:paraId="259CC4D2">
            <w:pPr>
              <w:pStyle w:val="10"/>
              <w:spacing w:line="440" w:lineRule="exact"/>
              <w:rPr>
                <w:rFonts w:hint="eastAsia" w:ascii="宋体" w:hAnsi="宋体"/>
                <w:sz w:val="28"/>
                <w:szCs w:val="28"/>
              </w:rPr>
            </w:pPr>
          </w:p>
        </w:tc>
      </w:tr>
    </w:tbl>
    <w:p w14:paraId="7F00DA84">
      <w:pPr>
        <w:pStyle w:val="10"/>
        <w:spacing w:line="360" w:lineRule="auto"/>
        <w:ind w:firstLine="560" w:firstLineChars="200"/>
        <w:rPr>
          <w:rFonts w:hint="eastAsia" w:ascii="宋体" w:hAnsi="宋体"/>
          <w:sz w:val="28"/>
          <w:szCs w:val="28"/>
        </w:rPr>
      </w:pPr>
    </w:p>
    <w:p w14:paraId="4C4DADD2">
      <w:pPr>
        <w:pStyle w:val="10"/>
        <w:spacing w:line="360" w:lineRule="auto"/>
        <w:ind w:firstLine="560" w:firstLineChars="200"/>
        <w:rPr>
          <w:rFonts w:hint="eastAsia" w:ascii="宋体" w:hAnsi="宋体"/>
          <w:sz w:val="28"/>
          <w:szCs w:val="28"/>
        </w:rPr>
      </w:pPr>
    </w:p>
    <w:p w14:paraId="0240AC3A">
      <w:pPr>
        <w:pStyle w:val="10"/>
        <w:spacing w:line="360" w:lineRule="auto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说明：格式、内容和签署、盖章必须完整。</w:t>
      </w:r>
    </w:p>
    <w:p w14:paraId="0B52978C">
      <w:pPr>
        <w:pStyle w:val="1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</w:p>
    <w:p w14:paraId="3759878E">
      <w:pPr>
        <w:pStyle w:val="1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</w:p>
    <w:p w14:paraId="129BF6EA">
      <w:pPr>
        <w:pStyle w:val="1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</w:p>
    <w:p w14:paraId="0684D131">
      <w:pPr>
        <w:pStyle w:val="1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法定代表人或法人授权代表（签字）：</w:t>
      </w:r>
    </w:p>
    <w:p w14:paraId="7B293107">
      <w:pPr>
        <w:pStyle w:val="10"/>
        <w:spacing w:line="360" w:lineRule="auto"/>
        <w:rPr>
          <w:rFonts w:ascii="宋体" w:hAnsi="宋体"/>
          <w:sz w:val="28"/>
          <w:szCs w:val="28"/>
        </w:rPr>
      </w:pPr>
    </w:p>
    <w:p w14:paraId="2656AC89">
      <w:pPr>
        <w:pStyle w:val="10"/>
        <w:spacing w:line="360" w:lineRule="auto"/>
        <w:rPr>
          <w:rFonts w:ascii="宋体" w:hAnsi="宋体"/>
          <w:sz w:val="28"/>
          <w:szCs w:val="28"/>
        </w:rPr>
      </w:pPr>
    </w:p>
    <w:p w14:paraId="0EE6D8E1">
      <w:pPr>
        <w:pStyle w:val="10"/>
        <w:spacing w:line="360" w:lineRule="auto"/>
        <w:rPr>
          <w:rFonts w:ascii="宋体" w:hAnsi="宋体"/>
          <w:sz w:val="28"/>
          <w:szCs w:val="28"/>
        </w:rPr>
      </w:pPr>
    </w:p>
    <w:p w14:paraId="150A7582">
      <w:pPr>
        <w:pStyle w:val="10"/>
        <w:spacing w:line="360" w:lineRule="auto"/>
        <w:ind w:firstLine="4620" w:firstLineChars="16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年 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月 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日</w:t>
      </w:r>
    </w:p>
    <w:p w14:paraId="4ACCCF76">
      <w:pPr>
        <w:pStyle w:val="4"/>
        <w:numPr>
          <w:ilvl w:val="1"/>
          <w:numId w:val="0"/>
        </w:numPr>
        <w:tabs>
          <w:tab w:val="left" w:pos="540"/>
        </w:tabs>
        <w:ind w:left="0" w:leftChars="0" w:firstLine="0" w:firstLineChars="0"/>
        <w:jc w:val="center"/>
        <w:rPr>
          <w:rFonts w:hint="eastAsia" w:ascii="宋体" w:hAnsi="宋体" w:eastAsiaTheme="minorEastAsia" w:cstheme="minorBidi"/>
          <w:b/>
          <w:bCs/>
          <w:color w:val="000000"/>
          <w:kern w:val="2"/>
          <w:sz w:val="32"/>
          <w:szCs w:val="32"/>
          <w:lang w:val="en-US" w:eastAsia="zh-CN" w:bidi="ar-SA"/>
        </w:rPr>
      </w:pPr>
    </w:p>
    <w:p w14:paraId="7429B81E">
      <w:pP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566FAEB6">
      <w:pP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52AA2509">
      <w:pP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746FDC4F">
      <w:pP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48D76A05">
      <w:pP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0"/>
          <w:sz w:val="32"/>
          <w:szCs w:val="32"/>
          <w:u w:val="none"/>
          <w:lang w:val="en-US" w:eastAsia="zh-CN" w:bidi="ar"/>
        </w:rPr>
        <w:br w:type="page"/>
      </w:r>
    </w:p>
    <w:p w14:paraId="6B717663">
      <w:pPr>
        <w:keepNext w:val="0"/>
        <w:keepLines w:val="0"/>
        <w:pageBreakBefore w:val="0"/>
        <w:widowControl w:val="0"/>
        <w:suppressLineNumbers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strike w:val="0"/>
          <w:color w:val="auto"/>
          <w:sz w:val="32"/>
          <w:szCs w:val="32"/>
          <w:u w:val="none"/>
        </w:rPr>
      </w:pPr>
      <w:r>
        <w:rPr>
          <w:rFonts w:hint="eastAsia" w:ascii="宋体" w:hAnsi="宋体" w:eastAsia="宋体" w:cs="宋体"/>
          <w:b/>
          <w:bCs/>
          <w:i w:val="0"/>
          <w:strike w:val="0"/>
          <w:color w:val="auto"/>
          <w:kern w:val="0"/>
          <w:sz w:val="32"/>
          <w:szCs w:val="32"/>
          <w:u w:val="none"/>
          <w:lang w:val="en-US" w:eastAsia="zh-CN" w:bidi="ar"/>
        </w:rPr>
        <w:t>招标代理机构公开遴选评审原则及评审办法</w:t>
      </w:r>
    </w:p>
    <w:p w14:paraId="070E1B03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2" w:firstLineChars="200"/>
        <w:jc w:val="both"/>
        <w:textAlignment w:val="auto"/>
        <w:rPr>
          <w:rFonts w:hint="eastAsia" w:ascii="Times New Roman" w:hAnsi="Times New Roman" w:eastAsia="宋体" w:cs="Times New Roman"/>
          <w:b/>
          <w:sz w:val="28"/>
          <w:szCs w:val="28"/>
        </w:rPr>
      </w:pPr>
    </w:p>
    <w:p w14:paraId="20FA7784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2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</w:rPr>
        <w:t>一、评审方法</w:t>
      </w:r>
    </w:p>
    <w:p w14:paraId="5F837916">
      <w:pPr>
        <w:pStyle w:val="7"/>
        <w:keepNext w:val="0"/>
        <w:keepLines w:val="0"/>
        <w:pageBreakBefore w:val="0"/>
        <w:widowControl w:val="0"/>
        <w:suppressLineNumbers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00" w:lineRule="exact"/>
        <w:ind w:left="0" w:firstLine="560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eastAsia="zh-CN"/>
        </w:rPr>
        <w:t>本次</w:t>
      </w:r>
      <w:r>
        <w:rPr>
          <w:rFonts w:hint="eastAsia" w:ascii="Times New Roman" w:hAnsi="Times New Roman" w:eastAsia="宋体" w:cs="Times New Roman"/>
          <w:sz w:val="28"/>
          <w:szCs w:val="28"/>
        </w:rPr>
        <w:t>评审采用百分制积分法。即由评审委员会对参选人的公司资质与备案、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sz w:val="28"/>
          <w:szCs w:val="28"/>
        </w:rPr>
        <w:t>代理服务报价、</w:t>
      </w:r>
      <w:r>
        <w:rPr>
          <w:rFonts w:hint="eastAsia" w:ascii="Times New Roman" w:hAnsi="Times New Roman" w:eastAsia="宋体" w:cs="Times New Roman"/>
          <w:sz w:val="28"/>
          <w:szCs w:val="28"/>
        </w:rPr>
        <w:t>业绩经验、专业团队配置、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sz w:val="28"/>
          <w:szCs w:val="28"/>
        </w:rPr>
        <w:t>服务方案、内控管理制度、保密措施和廉洁风险防控措施、</w:t>
      </w:r>
      <w:r>
        <w:rPr>
          <w:rFonts w:hint="eastAsia" w:ascii="Times New Roman" w:hAnsi="Times New Roman" w:eastAsia="宋体" w:cs="Times New Roman"/>
          <w:sz w:val="28"/>
          <w:szCs w:val="28"/>
        </w:rPr>
        <w:t>办公条件、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团队配置</w:t>
      </w:r>
      <w:r>
        <w:rPr>
          <w:rFonts w:hint="eastAsia" w:ascii="Times New Roman" w:hAnsi="Times New Roman" w:eastAsia="宋体" w:cs="Times New Roman"/>
          <w:sz w:val="28"/>
          <w:szCs w:val="28"/>
        </w:rPr>
        <w:t>等进行综合评审，采用分项累计积分，按得分高低依次排序。</w:t>
      </w:r>
    </w:p>
    <w:p w14:paraId="153AD107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2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  <w:lang w:eastAsia="zh-CN"/>
        </w:rPr>
        <w:t>二、</w:t>
      </w:r>
      <w:r>
        <w:rPr>
          <w:rFonts w:hint="eastAsia" w:ascii="Times New Roman" w:hAnsi="Times New Roman" w:eastAsia="宋体" w:cs="Times New Roman"/>
          <w:b/>
          <w:sz w:val="28"/>
          <w:szCs w:val="28"/>
        </w:rPr>
        <w:t>资格审查</w:t>
      </w:r>
    </w:p>
    <w:p w14:paraId="53E54B78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0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 w:val="0"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.1 遴选小组依据法律法规和遴选文件的规定，对响应文件中的资格证明文件等进行审查，以确定投标人是否具备响应资格。</w:t>
      </w:r>
    </w:p>
    <w:p w14:paraId="53F30E21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0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 w:val="0"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.2 资格审查中有任意一项未通过的，审查结果为未通过，未通过资格审查的投标人按无效响应处理。</w:t>
      </w:r>
    </w:p>
    <w:p w14:paraId="3A03E1AE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2" w:firstLineChars="200"/>
        <w:jc w:val="both"/>
        <w:textAlignment w:val="auto"/>
        <w:rPr>
          <w:rFonts w:hint="eastAsia" w:ascii="Times New Roman" w:hAnsi="Times New Roman" w:eastAsia="宋体" w:cs="Times New Roman"/>
          <w:b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  <w:lang w:eastAsia="zh-CN"/>
        </w:rPr>
        <w:t>三、</w:t>
      </w:r>
      <w:r>
        <w:rPr>
          <w:rFonts w:hint="eastAsia" w:ascii="Times New Roman" w:hAnsi="Times New Roman" w:eastAsia="宋体" w:cs="Times New Roman"/>
          <w:b/>
          <w:sz w:val="28"/>
          <w:szCs w:val="28"/>
        </w:rPr>
        <w:t>综合评分</w:t>
      </w:r>
    </w:p>
    <w:p w14:paraId="75A787A9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0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由遴选小组</w:t>
      </w:r>
      <w:r>
        <w:rPr>
          <w:rFonts w:hint="eastAsia" w:ascii="Times New Roman" w:hAnsi="Times New Roman" w:eastAsia="宋体" w:cs="Times New Roman"/>
          <w:sz w:val="28"/>
          <w:szCs w:val="28"/>
        </w:rPr>
        <w:t>根据参选人提交的材料进行独立打分，最终按得分高低择优确定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8"/>
          <w:szCs w:val="28"/>
        </w:rPr>
        <w:t>家代理机构。得分相同时以项目业绩得分高者优先；仍相同的以服务方案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高分者</w:t>
      </w:r>
      <w:r>
        <w:rPr>
          <w:rFonts w:hint="eastAsia" w:ascii="Times New Roman" w:hAnsi="Times New Roman" w:eastAsia="宋体" w:cs="Times New Roman"/>
          <w:sz w:val="28"/>
          <w:szCs w:val="28"/>
        </w:rPr>
        <w:t>优先；再相同的由遴选小组投票确定。</w:t>
      </w:r>
    </w:p>
    <w:p w14:paraId="5358D797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2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  <w:lang w:eastAsia="zh-CN"/>
        </w:rPr>
        <w:t>四、</w:t>
      </w:r>
      <w:r>
        <w:rPr>
          <w:rFonts w:hint="eastAsia" w:ascii="Times New Roman" w:hAnsi="Times New Roman" w:eastAsia="宋体" w:cs="Times New Roman"/>
          <w:b/>
          <w:sz w:val="28"/>
          <w:szCs w:val="28"/>
        </w:rPr>
        <w:t>评分细则表</w:t>
      </w:r>
    </w:p>
    <w:p w14:paraId="17EAB24A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2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</w:rPr>
        <w:t>分值构成：</w:t>
      </w:r>
    </w:p>
    <w:p w14:paraId="461C0E73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0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1、技术部分</w:t>
      </w:r>
      <w:r>
        <w:rPr>
          <w:rFonts w:hint="eastAsia" w:ascii="Times New Roman" w:hAnsi="Times New Roman" w:eastAsia="宋体" w:cs="Times New Roman"/>
          <w:b w:val="0"/>
          <w:sz w:val="28"/>
          <w:szCs w:val="28"/>
          <w:lang w:val="en-US" w:eastAsia="zh-CN"/>
        </w:rPr>
        <w:t>5</w:t>
      </w:r>
      <w:r>
        <w:rPr>
          <w:rFonts w:hint="eastAsia" w:ascii="Times New Roman" w:hAnsi="Times New Roman" w:cs="Times New Roman"/>
          <w:b w:val="0"/>
          <w:sz w:val="28"/>
          <w:szCs w:val="28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.0分</w:t>
      </w:r>
    </w:p>
    <w:p w14:paraId="2F809B14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0" w:firstLineChars="200"/>
        <w:jc w:val="both"/>
        <w:textAlignment w:val="auto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2、商务部分</w:t>
      </w:r>
      <w:r>
        <w:rPr>
          <w:rFonts w:hint="eastAsia" w:ascii="Times New Roman" w:hAnsi="Times New Roman" w:eastAsia="宋体" w:cs="Times New Roman"/>
          <w:b w:val="0"/>
          <w:sz w:val="28"/>
          <w:szCs w:val="28"/>
          <w:lang w:val="en-US" w:eastAsia="zh-CN"/>
        </w:rPr>
        <w:t>3</w:t>
      </w:r>
      <w:r>
        <w:rPr>
          <w:rFonts w:hint="eastAsia" w:ascii="Times New Roman" w:hAnsi="Times New Roman" w:cs="Times New Roman"/>
          <w:b w:val="0"/>
          <w:sz w:val="28"/>
          <w:szCs w:val="28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.0分</w:t>
      </w:r>
    </w:p>
    <w:p w14:paraId="02EE8125">
      <w:pPr>
        <w:keepNext w:val="0"/>
        <w:keepLines w:val="0"/>
        <w:pageBreakBefore w:val="0"/>
        <w:widowControl w:val="0"/>
        <w:tabs>
          <w:tab w:val="center" w:pos="4366"/>
        </w:tabs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line="500" w:lineRule="exact"/>
        <w:ind w:firstLine="560" w:firstLineChars="200"/>
        <w:jc w:val="both"/>
        <w:textAlignment w:val="auto"/>
        <w:rPr>
          <w:rFonts w:hint="eastAsia" w:ascii="Times New Roman" w:hAnsi="Times New Roman" w:eastAsia="宋体" w:cs="Times New Roman"/>
          <w:b w:val="0"/>
          <w:sz w:val="28"/>
          <w:szCs w:val="28"/>
        </w:rPr>
      </w:pP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3、报价部分</w:t>
      </w:r>
      <w:r>
        <w:rPr>
          <w:rFonts w:hint="eastAsia" w:ascii="Times New Roman" w:hAnsi="Times New Roman" w:cs="Times New Roman"/>
          <w:b w:val="0"/>
          <w:sz w:val="28"/>
          <w:szCs w:val="28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b w:val="0"/>
          <w:sz w:val="28"/>
          <w:szCs w:val="28"/>
          <w:lang w:val="en-US" w:eastAsia="zh-CN"/>
        </w:rPr>
        <w:t>0</w:t>
      </w:r>
      <w:r>
        <w:rPr>
          <w:rFonts w:hint="eastAsia" w:ascii="Times New Roman" w:hAnsi="Times New Roman" w:eastAsia="宋体" w:cs="Times New Roman"/>
          <w:b w:val="0"/>
          <w:sz w:val="28"/>
          <w:szCs w:val="28"/>
        </w:rPr>
        <w:t>.0分</w:t>
      </w:r>
    </w:p>
    <w:p w14:paraId="7FC9E9FD">
      <w:pPr>
        <w:pStyle w:val="2"/>
        <w:rPr>
          <w:rFonts w:hint="eastAsia" w:ascii="Times New Roman" w:hAnsi="Times New Roman" w:eastAsia="宋体" w:cs="Times New Roman"/>
          <w:b w:val="0"/>
          <w:sz w:val="28"/>
          <w:szCs w:val="28"/>
        </w:rPr>
      </w:pPr>
    </w:p>
    <w:p w14:paraId="6CFD4ADF">
      <w:pPr>
        <w:pStyle w:val="2"/>
        <w:rPr>
          <w:rFonts w:hint="eastAsia" w:ascii="Times New Roman" w:hAnsi="Times New Roman" w:eastAsia="宋体" w:cs="Times New Roman"/>
          <w:b w:val="0"/>
          <w:sz w:val="28"/>
          <w:szCs w:val="28"/>
        </w:rPr>
      </w:pPr>
    </w:p>
    <w:p w14:paraId="1C98F27A">
      <w:pPr>
        <w:pStyle w:val="2"/>
        <w:rPr>
          <w:rFonts w:hint="eastAsia" w:ascii="Times New Roman" w:hAnsi="Times New Roman" w:eastAsia="宋体" w:cs="Times New Roman"/>
          <w:b w:val="0"/>
          <w:sz w:val="28"/>
          <w:szCs w:val="28"/>
        </w:rPr>
      </w:pPr>
    </w:p>
    <w:p w14:paraId="6CF9D621">
      <w:pPr>
        <w:pStyle w:val="2"/>
        <w:rPr>
          <w:rFonts w:hint="eastAsia" w:ascii="Times New Roman" w:hAnsi="Times New Roman" w:eastAsia="宋体" w:cs="Times New Roman"/>
          <w:b w:val="0"/>
          <w:sz w:val="28"/>
          <w:szCs w:val="28"/>
          <w:lang w:eastAsia="zh-CN"/>
        </w:rPr>
      </w:pPr>
    </w:p>
    <w:tbl>
      <w:tblPr>
        <w:tblStyle w:val="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6"/>
        <w:gridCol w:w="1051"/>
        <w:gridCol w:w="1146"/>
        <w:gridCol w:w="4365"/>
      </w:tblGrid>
      <w:tr w14:paraId="6AB8A3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996" w:type="dxa"/>
            <w:shd w:val="clear" w:color="auto" w:fill="D9E2F3"/>
            <w:noWrap w:val="0"/>
            <w:vAlign w:val="center"/>
          </w:tcPr>
          <w:p w14:paraId="3D0D6C9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</w:rPr>
              <w:t>评审因素</w:t>
            </w:r>
          </w:p>
        </w:tc>
        <w:tc>
          <w:tcPr>
            <w:tcW w:w="1051" w:type="dxa"/>
            <w:shd w:val="clear" w:color="auto" w:fill="D9E2F3"/>
            <w:noWrap w:val="0"/>
            <w:vAlign w:val="center"/>
          </w:tcPr>
          <w:p w14:paraId="0C04F97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</w:rPr>
              <w:t>分值</w:t>
            </w:r>
          </w:p>
        </w:tc>
        <w:tc>
          <w:tcPr>
            <w:tcW w:w="5511" w:type="dxa"/>
            <w:gridSpan w:val="2"/>
            <w:shd w:val="clear" w:color="auto" w:fill="D9E2F3"/>
            <w:noWrap w:val="0"/>
            <w:vAlign w:val="center"/>
          </w:tcPr>
          <w:p w14:paraId="35DF45D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</w:rPr>
              <w:t>评审标准</w:t>
            </w:r>
          </w:p>
        </w:tc>
      </w:tr>
      <w:tr w14:paraId="45B85E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558" w:type="dxa"/>
            <w:gridSpan w:val="4"/>
            <w:noWrap w:val="0"/>
            <w:vAlign w:val="center"/>
          </w:tcPr>
          <w:p w14:paraId="1668B7D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技术部分</w:t>
            </w:r>
          </w:p>
        </w:tc>
      </w:tr>
      <w:tr w14:paraId="0A845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6" w:type="dxa"/>
            <w:noWrap w:val="0"/>
            <w:vAlign w:val="center"/>
          </w:tcPr>
          <w:p w14:paraId="1759A0F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代理服务实施方案</w:t>
            </w:r>
          </w:p>
          <w:p w14:paraId="09496DB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.0分）</w:t>
            </w:r>
          </w:p>
        </w:tc>
        <w:tc>
          <w:tcPr>
            <w:tcW w:w="1051" w:type="dxa"/>
            <w:noWrap w:val="0"/>
            <w:vAlign w:val="center"/>
          </w:tcPr>
          <w:p w14:paraId="2B5842D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5511" w:type="dxa"/>
            <w:gridSpan w:val="2"/>
            <w:noWrap w:val="0"/>
            <w:vAlign w:val="center"/>
          </w:tcPr>
          <w:p w14:paraId="3C59B55F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根据招标代理服务需求，参选人须提供招标代理服务总体方案，包括但不限于1.代理工作流程；2.服务重点、难点解决措施；3.服务质量保证措施；4.服务周期保障措施；5.质疑投诉处理能力；6.服务团队岗位分布和岗位职责方案。</w:t>
            </w:r>
          </w:p>
        </w:tc>
      </w:tr>
      <w:tr w14:paraId="4C1565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6" w:type="dxa"/>
            <w:noWrap w:val="0"/>
            <w:vAlign w:val="center"/>
          </w:tcPr>
          <w:p w14:paraId="27A0BCE2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内控管理制度</w:t>
            </w:r>
          </w:p>
          <w:p w14:paraId="3BEC6FF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.0分）</w:t>
            </w:r>
          </w:p>
        </w:tc>
        <w:tc>
          <w:tcPr>
            <w:tcW w:w="1051" w:type="dxa"/>
            <w:noWrap w:val="0"/>
            <w:vAlign w:val="center"/>
          </w:tcPr>
          <w:p w14:paraId="420BF00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5511" w:type="dxa"/>
            <w:gridSpan w:val="2"/>
            <w:noWrap w:val="0"/>
            <w:vAlign w:val="center"/>
          </w:tcPr>
          <w:p w14:paraId="6F6D132D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参选人应具备完善的内部管理制度，包括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但不限于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1.代理委托管理制度；2.招标文件编制管理制度；3.信息公告管理制度；4.评审管理制度；5.档案管理制度；6.内控管理制度。</w:t>
            </w:r>
          </w:p>
        </w:tc>
      </w:tr>
      <w:tr w14:paraId="435533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6" w:type="dxa"/>
            <w:noWrap w:val="0"/>
            <w:vAlign w:val="center"/>
          </w:tcPr>
          <w:p w14:paraId="5416B357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保密措施和廉洁风险防控措施</w:t>
            </w:r>
          </w:p>
          <w:p w14:paraId="266F980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.0分）</w:t>
            </w:r>
          </w:p>
          <w:p w14:paraId="2B1E379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051" w:type="dxa"/>
            <w:noWrap w:val="0"/>
            <w:vAlign w:val="center"/>
          </w:tcPr>
          <w:p w14:paraId="7165ED1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5511" w:type="dxa"/>
            <w:gridSpan w:val="2"/>
            <w:noWrap w:val="0"/>
            <w:vAlign w:val="center"/>
          </w:tcPr>
          <w:p w14:paraId="009E10B0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both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参选人应具备完善的保密措施和廉洁风险防控措施。</w:t>
            </w:r>
          </w:p>
        </w:tc>
      </w:tr>
      <w:tr w14:paraId="0373E4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6" w:type="dxa"/>
            <w:noWrap w:val="0"/>
            <w:vAlign w:val="center"/>
          </w:tcPr>
          <w:p w14:paraId="1E5C9208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办公条件</w:t>
            </w:r>
          </w:p>
          <w:p w14:paraId="453432E8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.0分）</w:t>
            </w:r>
          </w:p>
        </w:tc>
        <w:tc>
          <w:tcPr>
            <w:tcW w:w="1051" w:type="dxa"/>
            <w:noWrap w:val="0"/>
            <w:vAlign w:val="center"/>
          </w:tcPr>
          <w:p w14:paraId="0143259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5511" w:type="dxa"/>
            <w:gridSpan w:val="2"/>
            <w:noWrap w:val="0"/>
            <w:vAlign w:val="center"/>
          </w:tcPr>
          <w:p w14:paraId="572F86C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需具备独立办公场所和编制招标文件、存储招标资料等所需要的办公条件（提供办公场地权属或租赁复印件及场地实景照片资料）。</w:t>
            </w:r>
          </w:p>
        </w:tc>
      </w:tr>
      <w:tr w14:paraId="11E32F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558" w:type="dxa"/>
            <w:gridSpan w:val="4"/>
            <w:noWrap w:val="0"/>
            <w:vAlign w:val="center"/>
          </w:tcPr>
          <w:p w14:paraId="1029860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商务部分</w:t>
            </w:r>
          </w:p>
        </w:tc>
      </w:tr>
      <w:tr w14:paraId="33D24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6" w:type="dxa"/>
            <w:noWrap w:val="0"/>
            <w:vAlign w:val="center"/>
          </w:tcPr>
          <w:p w14:paraId="23D9459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团队配置</w:t>
            </w:r>
          </w:p>
          <w:p w14:paraId="68FE849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.0分）</w:t>
            </w:r>
          </w:p>
        </w:tc>
        <w:tc>
          <w:tcPr>
            <w:tcW w:w="1051" w:type="dxa"/>
            <w:noWrap w:val="0"/>
            <w:vAlign w:val="center"/>
          </w:tcPr>
          <w:p w14:paraId="441C69C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5511" w:type="dxa"/>
            <w:gridSpan w:val="2"/>
            <w:noWrap w:val="0"/>
            <w:vAlign w:val="center"/>
          </w:tcPr>
          <w:p w14:paraId="087FDB6E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提供招标代理团队名单，人员需具备招标采购培训证书（需提供培训证书和近半年内任意连续3个月社保缴费证明）</w:t>
            </w:r>
          </w:p>
          <w:p w14:paraId="7B07AAEE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注:入职不满3个月的，提供入职以来的社保缴费证明。</w:t>
            </w:r>
          </w:p>
        </w:tc>
      </w:tr>
      <w:tr w14:paraId="6850A5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6" w:type="dxa"/>
            <w:noWrap w:val="0"/>
            <w:vAlign w:val="center"/>
          </w:tcPr>
          <w:p w14:paraId="3429165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cs="Times New Roman"/>
                <w:b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eastAsia="zh-CN"/>
              </w:rPr>
              <w:t>荣誉</w:t>
            </w:r>
          </w:p>
          <w:p w14:paraId="242D4B7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10.0分</w:t>
            </w: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051" w:type="dxa"/>
            <w:noWrap w:val="0"/>
            <w:vAlign w:val="center"/>
          </w:tcPr>
          <w:p w14:paraId="6EF9EEB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5511" w:type="dxa"/>
            <w:gridSpan w:val="2"/>
            <w:noWrap w:val="0"/>
            <w:vAlign w:val="center"/>
          </w:tcPr>
          <w:p w14:paraId="551375B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"/>
              </w:rPr>
              <w:t>荣誉证书或奖项证明材料（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与招标代理业务相关的荣誉，同一荣誉不重复计分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"/>
              </w:rPr>
              <w:t>）。</w:t>
            </w:r>
          </w:p>
        </w:tc>
      </w:tr>
      <w:tr w14:paraId="52B66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6" w:type="dxa"/>
            <w:noWrap w:val="0"/>
            <w:vAlign w:val="center"/>
          </w:tcPr>
          <w:p w14:paraId="0904898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项目业绩</w:t>
            </w:r>
          </w:p>
          <w:p w14:paraId="0DBC3D8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.0分）</w:t>
            </w:r>
          </w:p>
        </w:tc>
        <w:tc>
          <w:tcPr>
            <w:tcW w:w="1051" w:type="dxa"/>
            <w:noWrap w:val="0"/>
            <w:vAlign w:val="center"/>
          </w:tcPr>
          <w:p w14:paraId="78EA824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5511" w:type="dxa"/>
            <w:gridSpan w:val="2"/>
            <w:noWrap w:val="0"/>
            <w:vAlign w:val="center"/>
          </w:tcPr>
          <w:p w14:paraId="78F4CD1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过往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招标代理业绩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（提供合同关键页或中标通知书复印件）。</w:t>
            </w:r>
          </w:p>
        </w:tc>
      </w:tr>
      <w:tr w14:paraId="7859E5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558" w:type="dxa"/>
            <w:gridSpan w:val="4"/>
            <w:noWrap w:val="0"/>
            <w:vAlign w:val="center"/>
          </w:tcPr>
          <w:p w14:paraId="47DED24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报价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部分</w:t>
            </w:r>
          </w:p>
        </w:tc>
      </w:tr>
      <w:tr w14:paraId="3C84C4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8558" w:type="dxa"/>
            <w:gridSpan w:val="4"/>
            <w:noWrap w:val="0"/>
            <w:vAlign w:val="center"/>
          </w:tcPr>
          <w:p w14:paraId="5D52B79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本项目采用折扣费率报价，投标人填报折扣费率，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招标代理费执行《内蒙古自治区矿山生态修复工程预算定额标准（试行）》（内自然资字〔2026〕198号）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。本项目费率仅允许下浮，不允许上浮，投标人填报费率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&gt;100%的否决其投标。</w:t>
            </w:r>
          </w:p>
        </w:tc>
      </w:tr>
      <w:tr w14:paraId="7F735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4" w:hRule="atLeast"/>
          <w:jc w:val="center"/>
        </w:trPr>
        <w:tc>
          <w:tcPr>
            <w:tcW w:w="1996" w:type="dxa"/>
            <w:vMerge w:val="restart"/>
            <w:noWrap w:val="0"/>
            <w:vAlign w:val="center"/>
          </w:tcPr>
          <w:p w14:paraId="2A3DEE4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服务报价得分</w:t>
            </w:r>
          </w:p>
          <w:p w14:paraId="3A8E2D3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.0分）</w:t>
            </w:r>
          </w:p>
        </w:tc>
        <w:tc>
          <w:tcPr>
            <w:tcW w:w="1051" w:type="dxa"/>
            <w:vMerge w:val="restart"/>
            <w:noWrap w:val="0"/>
            <w:vAlign w:val="center"/>
          </w:tcPr>
          <w:p w14:paraId="2748ECF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  <w:t>.0分</w:t>
            </w:r>
          </w:p>
        </w:tc>
        <w:tc>
          <w:tcPr>
            <w:tcW w:w="1146" w:type="dxa"/>
            <w:noWrap w:val="0"/>
            <w:vAlign w:val="center"/>
          </w:tcPr>
          <w:p w14:paraId="1366024E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评标基准价计算方法</w:t>
            </w:r>
          </w:p>
        </w:tc>
        <w:tc>
          <w:tcPr>
            <w:tcW w:w="4365" w:type="dxa"/>
            <w:noWrap w:val="0"/>
            <w:vAlign w:val="center"/>
          </w:tcPr>
          <w:p w14:paraId="1BC2394A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评标基准价计算方法：采用A×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0％+B×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0％。</w:t>
            </w:r>
          </w:p>
          <w:p w14:paraId="10BDD996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A、B、评标基准价均按小数形式参与运算（如折扣费率95%，取值0.95）。</w:t>
            </w:r>
          </w:p>
          <w:p w14:paraId="7E7E0FBD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A为最高投标限价(本项目A=100%)。</w:t>
            </w:r>
          </w:p>
          <w:p w14:paraId="17945A2E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B值取值规则（B为有效投标折扣费率的算术平均值）：</w:t>
            </w:r>
          </w:p>
          <w:p w14:paraId="1B582FE6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当有效投标人数量n＜5时，B=全部有效投标人折扣费率算术平均值；</w:t>
            </w:r>
          </w:p>
          <w:p w14:paraId="25BBCD90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当5≤n＜9时，去掉1个最高费率、1个最低费率，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B=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剩余有效投标人折扣费率算术平均值；</w:t>
            </w:r>
          </w:p>
          <w:p w14:paraId="4A0678B6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3）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当9≤n＜13时，去掉1个最高费率、2个最低费率，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B=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剩余有效投标人折扣费率算术平均值；</w:t>
            </w:r>
          </w:p>
          <w:p w14:paraId="6FA43576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（以此类推）</w:t>
            </w:r>
          </w:p>
          <w:p w14:paraId="4C5289A9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有效投标：指通过资格审查、符合性审查，未被评标委员会否决投标的投标。</w:t>
            </w:r>
          </w:p>
        </w:tc>
      </w:tr>
      <w:tr w14:paraId="66A351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96" w:type="dxa"/>
            <w:vMerge w:val="continue"/>
            <w:noWrap w:val="0"/>
            <w:vAlign w:val="center"/>
          </w:tcPr>
          <w:p w14:paraId="136B092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noWrap w:val="0"/>
            <w:vAlign w:val="center"/>
          </w:tcPr>
          <w:p w14:paraId="2DE9972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08330D43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投标报价的偏差率计算公式</w:t>
            </w:r>
          </w:p>
        </w:tc>
        <w:tc>
          <w:tcPr>
            <w:tcW w:w="4365" w:type="dxa"/>
            <w:noWrap w:val="0"/>
            <w:vAlign w:val="center"/>
          </w:tcPr>
          <w:p w14:paraId="1892ECA4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偏差率P=100%×(投标人报价-评标基准价)/评标基准价</w:t>
            </w:r>
          </w:p>
        </w:tc>
      </w:tr>
      <w:tr w14:paraId="6B8725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96" w:type="dxa"/>
            <w:vMerge w:val="continue"/>
            <w:noWrap w:val="0"/>
            <w:vAlign w:val="center"/>
          </w:tcPr>
          <w:p w14:paraId="2F0F050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noWrap w:val="0"/>
            <w:vAlign w:val="center"/>
          </w:tcPr>
          <w:p w14:paraId="244CC5A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b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2A859229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投标报价得分</w:t>
            </w:r>
          </w:p>
        </w:tc>
        <w:tc>
          <w:tcPr>
            <w:tcW w:w="4365" w:type="dxa"/>
            <w:noWrap w:val="0"/>
            <w:vAlign w:val="center"/>
          </w:tcPr>
          <w:p w14:paraId="482C10B8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（1）当P=0时，投标人的投标报价得分为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分；</w:t>
            </w:r>
          </w:p>
          <w:p w14:paraId="62EE17ED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（2）当P＜0时，偏差率每有-1%减0.5分（不足1%按1%计），从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分减起，减完为止；</w:t>
            </w:r>
          </w:p>
          <w:p w14:paraId="44792DE6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（3）当P＞0时，偏差率每有+1%减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0.5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分（不足1%按1%计），从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分减起，减完为止。</w:t>
            </w:r>
            <w:bookmarkStart w:id="0" w:name="_GoBack"/>
            <w:bookmarkEnd w:id="0"/>
          </w:p>
        </w:tc>
      </w:tr>
    </w:tbl>
    <w:p w14:paraId="7010B523"/>
    <w:sectPr>
      <w:footerReference r:id="rId3" w:type="default"/>
      <w:pgSz w:w="11906" w:h="16838"/>
      <w:pgMar w:top="1440" w:right="1587" w:bottom="1440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BFDB8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E469C8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FE469C8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ED239D"/>
    <w:rsid w:val="0AED239D"/>
    <w:rsid w:val="0EE24651"/>
    <w:rsid w:val="11BE4CFC"/>
    <w:rsid w:val="1BAA6D17"/>
    <w:rsid w:val="267A4A73"/>
    <w:rsid w:val="31982411"/>
    <w:rsid w:val="39786EE5"/>
    <w:rsid w:val="3B2A7D44"/>
    <w:rsid w:val="404F3A05"/>
    <w:rsid w:val="504C2A70"/>
    <w:rsid w:val="58EFB6E2"/>
    <w:rsid w:val="61407F6D"/>
    <w:rsid w:val="632057CC"/>
    <w:rsid w:val="64252FAA"/>
    <w:rsid w:val="6DCE74DA"/>
    <w:rsid w:val="7C2927E8"/>
    <w:rsid w:val="8B97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next w:val="1"/>
    <w:qFormat/>
    <w:uiPriority w:val="0"/>
    <w:pPr>
      <w:keepNext/>
      <w:keepLines/>
      <w:spacing w:beforeLines="0" w:beforeAutospacing="0" w:afterLines="0" w:afterAutospacing="0" w:line="700" w:lineRule="exact"/>
      <w:ind w:firstLine="0" w:firstLineChars="0"/>
      <w:jc w:val="center"/>
      <w:outlineLvl w:val="0"/>
    </w:pPr>
    <w:rPr>
      <w:rFonts w:ascii="Times New Roman" w:hAnsi="Times New Roman" w:eastAsia="方正小标宋简体" w:cstheme="minorBidi"/>
      <w:kern w:val="44"/>
      <w:sz w:val="44"/>
      <w:szCs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600" w:lineRule="exact"/>
      <w:ind w:firstLine="640"/>
      <w:outlineLvl w:val="1"/>
    </w:pPr>
    <w:rPr>
      <w:rFonts w:ascii="Times New Roman" w:hAnsi="Times New Roman" w:eastAsia="黑体" w:cstheme="minorBidi"/>
      <w:sz w:val="32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600" w:lineRule="exact"/>
      <w:outlineLvl w:val="2"/>
    </w:pPr>
    <w:rPr>
      <w:rFonts w:eastAsia="楷体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0">
    <w:name w:val="正文_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1484</Words>
  <Characters>1599</Characters>
  <Lines>0</Lines>
  <Paragraphs>0</Paragraphs>
  <TotalTime>105</TotalTime>
  <ScaleCrop>false</ScaleCrop>
  <LinksUpToDate>false</LinksUpToDate>
  <CharactersWithSpaces>1625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2026-11-01T03:00:00Z</dcterms:created>
  <dc:creator>微光</dc:creator>
  <cp:lastModifiedBy>微光</cp:lastModifiedBy>
  <dcterms:modified xsi:type="dcterms:W3CDTF">2026-11-02T10:42:48Z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0A7CDBCC9716EFBC3502E76A8F11922E_43</vt:lpwstr>
  </property>
  <property fmtid="{D5CDD505-2E9C-101B-9397-08002B2CF9AE}" pid="4" name="KSOTemplateDocerSaveRecord">
    <vt:lpwstr>eyJoZGlkIjoiMTNhZmUzMjAwYmJiYjg4YjIwNWJjMTkxNTM5NmU3OTQiLCJ1c2VySWQiOiI0MDc2MjMxMTQifQ==</vt:lpwstr>
  </property>
</Properties>
</file>