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C9C21">
      <w:pPr>
        <w:pStyle w:val="3"/>
        <w:tabs>
          <w:tab w:val="left" w:pos="1342"/>
        </w:tabs>
        <w:outlineLvl w:val="0"/>
        <w:rPr>
          <w:rFonts w:ascii="Times New Roman" w:hAnsi="Times New Roman" w:eastAsia="方正小标宋简体" w:cs="Times New Roman"/>
          <w:w w:val="105"/>
          <w:sz w:val="44"/>
          <w:szCs w:val="44"/>
          <w:lang w:eastAsia="zh-CN"/>
        </w:rPr>
      </w:pPr>
      <w:r>
        <w:rPr>
          <w:rFonts w:ascii="Times New Roman" w:hAnsi="Times New Roman" w:eastAsia="黑体" w:cs="Times New Roman"/>
          <w:w w:val="105"/>
          <w:sz w:val="32"/>
          <w:szCs w:val="32"/>
          <w:lang w:eastAsia="zh-CN"/>
        </w:rPr>
        <w:t>附件3</w:t>
      </w:r>
    </w:p>
    <w:p w14:paraId="413E726F">
      <w:pPr>
        <w:pStyle w:val="3"/>
        <w:tabs>
          <w:tab w:val="left" w:pos="1342"/>
        </w:tabs>
        <w:ind w:left="135"/>
        <w:jc w:val="center"/>
        <w:rPr>
          <w:rFonts w:ascii="Times New Roman" w:hAnsi="Times New Roman" w:cs="Times New Roman"/>
          <w:sz w:val="44"/>
          <w:szCs w:val="44"/>
          <w:lang w:eastAsia="zh-CN"/>
        </w:rPr>
      </w:pPr>
      <w:bookmarkStart w:id="5" w:name="_GoBack"/>
      <w:bookmarkStart w:id="0" w:name="_Toc1970612738_WPSOffice_Level2"/>
      <w:bookmarkStart w:id="1" w:name="_Toc134934364_WPSOffice_Level2"/>
      <w:bookmarkStart w:id="2" w:name="_Toc1518018713_WPSOffice_Level1"/>
      <w:bookmarkStart w:id="3" w:name="_Toc1070668966_WPSOffice_Level1"/>
      <w:bookmarkStart w:id="4" w:name="_Toc2099551043_WPSOffice_Level1"/>
      <w:r>
        <w:rPr>
          <w:rFonts w:ascii="Times New Roman" w:hAnsi="Times New Roman" w:eastAsia="方正小标宋简体" w:cs="Times New Roman"/>
          <w:w w:val="105"/>
          <w:sz w:val="44"/>
          <w:szCs w:val="44"/>
          <w:lang w:eastAsia="zh-CN"/>
        </w:rPr>
        <w:t>防</w:t>
      </w:r>
      <w:r>
        <w:rPr>
          <w:rFonts w:ascii="Times New Roman" w:hAnsi="Times New Roman" w:eastAsia="方正小标宋简体" w:cs="Times New Roman"/>
          <w:spacing w:val="-10"/>
          <w:w w:val="110"/>
          <w:sz w:val="44"/>
          <w:szCs w:val="44"/>
          <w:lang w:eastAsia="zh-CN"/>
        </w:rPr>
        <w:t>汛</w:t>
      </w:r>
      <w:r>
        <w:rPr>
          <w:rFonts w:ascii="Times New Roman" w:hAnsi="Times New Roman" w:eastAsia="方正小标宋简体" w:cs="Times New Roman"/>
          <w:sz w:val="44"/>
          <w:szCs w:val="44"/>
          <w:lang w:eastAsia="zh-CN"/>
        </w:rPr>
        <w:t>（</w:t>
      </w:r>
      <w:r>
        <w:rPr>
          <w:rFonts w:ascii="Times New Roman" w:hAnsi="Times New Roman" w:eastAsia="方正小标宋简体" w:cs="Times New Roman"/>
          <w:w w:val="110"/>
          <w:sz w:val="44"/>
          <w:szCs w:val="44"/>
          <w:lang w:eastAsia="zh-CN"/>
        </w:rPr>
        <w:t>防凌</w:t>
      </w:r>
      <w:r>
        <w:rPr>
          <w:rFonts w:ascii="Times New Roman" w:hAnsi="Times New Roman" w:eastAsia="方正小标宋简体" w:cs="Times New Roman"/>
          <w:sz w:val="44"/>
          <w:szCs w:val="44"/>
          <w:lang w:eastAsia="zh-CN"/>
        </w:rPr>
        <w:t>）</w:t>
      </w:r>
      <w:r>
        <w:rPr>
          <w:rFonts w:ascii="Times New Roman" w:hAnsi="Times New Roman" w:eastAsia="方正小标宋简体" w:cs="Times New Roman"/>
          <w:w w:val="110"/>
          <w:sz w:val="44"/>
          <w:szCs w:val="44"/>
          <w:lang w:eastAsia="zh-CN"/>
        </w:rPr>
        <w:t>应急响应措施</w:t>
      </w:r>
      <w:r>
        <w:rPr>
          <w:rFonts w:ascii="Times New Roman" w:hAnsi="Times New Roman" w:eastAsia="方正小标宋简体" w:cs="Times New Roman"/>
          <w:spacing w:val="-10"/>
          <w:w w:val="110"/>
          <w:sz w:val="44"/>
          <w:szCs w:val="44"/>
          <w:lang w:eastAsia="zh-CN"/>
        </w:rPr>
        <w:t>表</w:t>
      </w:r>
      <w:bookmarkEnd w:id="0"/>
      <w:bookmarkEnd w:id="1"/>
      <w:bookmarkEnd w:id="2"/>
      <w:bookmarkEnd w:id="3"/>
      <w:bookmarkEnd w:id="4"/>
    </w:p>
    <w:bookmarkEnd w:id="5"/>
    <w:p w14:paraId="13B8DB01">
      <w:pPr>
        <w:pStyle w:val="3"/>
        <w:rPr>
          <w:rFonts w:ascii="Times New Roman" w:hAnsi="Times New Roman" w:cs="Times New Roman"/>
          <w:sz w:val="10"/>
          <w:lang w:eastAsia="zh-CN"/>
        </w:rPr>
      </w:pPr>
    </w:p>
    <w:tbl>
      <w:tblPr>
        <w:tblStyle w:val="7"/>
        <w:tblW w:w="14445" w:type="dxa"/>
        <w:tblInd w:w="-619"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top w:w="0" w:type="dxa"/>
          <w:left w:w="0" w:type="dxa"/>
          <w:bottom w:w="0" w:type="dxa"/>
          <w:right w:w="0" w:type="dxa"/>
        </w:tblCellMar>
      </w:tblPr>
      <w:tblGrid>
        <w:gridCol w:w="1249"/>
        <w:gridCol w:w="2763"/>
        <w:gridCol w:w="3276"/>
        <w:gridCol w:w="3565"/>
        <w:gridCol w:w="3592"/>
      </w:tblGrid>
      <w:tr w14:paraId="3CA78B13">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84" w:hRule="atLeast"/>
          <w:tblHeader/>
        </w:trPr>
        <w:tc>
          <w:tcPr>
            <w:tcW w:w="1249" w:type="dxa"/>
            <w:tcBorders>
              <w:bottom w:val="single" w:color="231F20" w:sz="4" w:space="0"/>
              <w:right w:val="single" w:color="231F20" w:sz="4" w:space="0"/>
            </w:tcBorders>
          </w:tcPr>
          <w:p w14:paraId="35B65E33">
            <w:pPr>
              <w:pStyle w:val="12"/>
              <w:widowControl w:val="0"/>
              <w:spacing w:line="360" w:lineRule="exact"/>
              <w:jc w:val="center"/>
              <w:rPr>
                <w:rFonts w:hint="eastAsia" w:ascii="黑体" w:hAnsi="黑体" w:eastAsia="黑体" w:cs="黑体"/>
              </w:rPr>
            </w:pPr>
            <w:r>
              <w:rPr>
                <w:rFonts w:hint="eastAsia" w:ascii="黑体" w:hAnsi="黑体" w:eastAsia="黑体" w:cs="黑体"/>
              </w:rPr>
              <w:t>判别对象</w:t>
            </w:r>
          </w:p>
        </w:tc>
        <w:tc>
          <w:tcPr>
            <w:tcW w:w="2763" w:type="dxa"/>
            <w:tcBorders>
              <w:left w:val="single" w:color="231F20" w:sz="4" w:space="0"/>
              <w:bottom w:val="single" w:color="231F20" w:sz="4" w:space="0"/>
              <w:right w:val="single" w:color="231F20" w:sz="4" w:space="0"/>
            </w:tcBorders>
          </w:tcPr>
          <w:p w14:paraId="3048A425">
            <w:pPr>
              <w:pStyle w:val="12"/>
              <w:widowControl w:val="0"/>
              <w:spacing w:line="360" w:lineRule="exact"/>
              <w:ind w:left="1050" w:hanging="1050" w:hangingChars="500"/>
              <w:jc w:val="center"/>
              <w:rPr>
                <w:rFonts w:hint="eastAsia" w:ascii="黑体" w:hAnsi="黑体" w:eastAsia="黑体" w:cs="黑体"/>
              </w:rPr>
            </w:pPr>
            <w:r>
              <w:rPr>
                <w:rFonts w:hint="eastAsia" w:ascii="黑体" w:hAnsi="黑体" w:eastAsia="黑体" w:cs="黑体"/>
              </w:rPr>
              <w:t>四级应急响应</w:t>
            </w:r>
          </w:p>
        </w:tc>
        <w:tc>
          <w:tcPr>
            <w:tcW w:w="3276" w:type="dxa"/>
            <w:tcBorders>
              <w:left w:val="single" w:color="231F20" w:sz="4" w:space="0"/>
              <w:bottom w:val="single" w:color="231F20" w:sz="4" w:space="0"/>
              <w:right w:val="single" w:color="231F20" w:sz="4" w:space="0"/>
            </w:tcBorders>
          </w:tcPr>
          <w:p w14:paraId="6DCDDC35">
            <w:pPr>
              <w:pStyle w:val="12"/>
              <w:widowControl w:val="0"/>
              <w:spacing w:line="360" w:lineRule="exact"/>
              <w:ind w:hanging="10"/>
              <w:jc w:val="center"/>
              <w:rPr>
                <w:rFonts w:hint="eastAsia" w:ascii="黑体" w:hAnsi="黑体" w:eastAsia="黑体" w:cs="黑体"/>
              </w:rPr>
            </w:pPr>
            <w:r>
              <w:rPr>
                <w:rFonts w:hint="eastAsia" w:ascii="黑体" w:hAnsi="黑体" w:eastAsia="黑体" w:cs="黑体"/>
              </w:rPr>
              <w:t>三级应急响应</w:t>
            </w:r>
          </w:p>
        </w:tc>
        <w:tc>
          <w:tcPr>
            <w:tcW w:w="3565" w:type="dxa"/>
            <w:tcBorders>
              <w:left w:val="single" w:color="231F20" w:sz="4" w:space="0"/>
              <w:bottom w:val="single" w:color="231F20" w:sz="4" w:space="0"/>
              <w:right w:val="single" w:color="231F20" w:sz="4" w:space="0"/>
            </w:tcBorders>
          </w:tcPr>
          <w:p w14:paraId="0D85C303">
            <w:pPr>
              <w:pStyle w:val="12"/>
              <w:widowControl w:val="0"/>
              <w:spacing w:line="360" w:lineRule="exact"/>
              <w:ind w:left="1762" w:hanging="1761" w:hangingChars="839"/>
              <w:jc w:val="center"/>
              <w:rPr>
                <w:rFonts w:hint="eastAsia" w:ascii="黑体" w:hAnsi="黑体" w:eastAsia="黑体" w:cs="黑体"/>
              </w:rPr>
            </w:pPr>
            <w:r>
              <w:rPr>
                <w:rFonts w:hint="eastAsia" w:ascii="黑体" w:hAnsi="黑体" w:eastAsia="黑体" w:cs="黑体"/>
              </w:rPr>
              <w:t>二级应急响应</w:t>
            </w:r>
          </w:p>
        </w:tc>
        <w:tc>
          <w:tcPr>
            <w:tcW w:w="3592" w:type="dxa"/>
            <w:tcBorders>
              <w:left w:val="single" w:color="231F20" w:sz="4" w:space="0"/>
              <w:bottom w:val="single" w:color="231F20" w:sz="4" w:space="0"/>
            </w:tcBorders>
          </w:tcPr>
          <w:p w14:paraId="5F96F0FA">
            <w:pPr>
              <w:pStyle w:val="12"/>
              <w:widowControl w:val="0"/>
              <w:spacing w:line="360" w:lineRule="exact"/>
              <w:ind w:left="1523" w:hanging="1522" w:hangingChars="725"/>
              <w:jc w:val="center"/>
              <w:rPr>
                <w:rFonts w:hint="eastAsia" w:ascii="黑体" w:hAnsi="黑体" w:eastAsia="黑体" w:cs="黑体"/>
              </w:rPr>
            </w:pPr>
            <w:r>
              <w:rPr>
                <w:rFonts w:hint="eastAsia" w:ascii="黑体" w:hAnsi="黑体" w:eastAsia="黑体" w:cs="黑体"/>
              </w:rPr>
              <w:t>一级应急响应</w:t>
            </w:r>
          </w:p>
        </w:tc>
      </w:tr>
      <w:tr w14:paraId="473A3AA7">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6725" w:hRule="atLeast"/>
        </w:trPr>
        <w:tc>
          <w:tcPr>
            <w:tcW w:w="1249" w:type="dxa"/>
            <w:tcBorders>
              <w:top w:val="single" w:color="231F20" w:sz="4" w:space="0"/>
              <w:bottom w:val="single" w:color="231F20" w:sz="4" w:space="0"/>
              <w:right w:val="single" w:color="231F20" w:sz="4" w:space="0"/>
            </w:tcBorders>
            <w:vAlign w:val="center"/>
          </w:tcPr>
          <w:p w14:paraId="028F3318">
            <w:pPr>
              <w:pStyle w:val="12"/>
              <w:widowControl w:val="0"/>
              <w:kinsoku/>
              <w:adjustRightInd/>
              <w:snapToGrid/>
              <w:spacing w:line="360" w:lineRule="exact"/>
              <w:jc w:val="both"/>
              <w:textAlignment w:val="auto"/>
              <w:rPr>
                <w:rFonts w:hint="eastAsia" w:ascii="仿宋_GB2312" w:hAnsi="仿宋_GB2312" w:eastAsia="仿宋_GB2312" w:cs="仿宋_GB2312"/>
              </w:rPr>
            </w:pPr>
            <w:r>
              <w:rPr>
                <w:rFonts w:hint="eastAsia" w:ascii="仿宋_GB2312" w:hAnsi="仿宋_GB2312" w:eastAsia="仿宋_GB2312" w:cs="仿宋_GB2312"/>
              </w:rPr>
              <w:t>启动程序</w:t>
            </w:r>
          </w:p>
        </w:tc>
        <w:tc>
          <w:tcPr>
            <w:tcW w:w="2763" w:type="dxa"/>
            <w:tcBorders>
              <w:top w:val="single" w:color="231F20" w:sz="4" w:space="0"/>
              <w:left w:val="single" w:color="231F20" w:sz="4" w:space="0"/>
              <w:bottom w:val="single" w:color="231F20" w:sz="4" w:space="0"/>
              <w:right w:val="single" w:color="231F20" w:sz="4" w:space="0"/>
            </w:tcBorders>
            <w:vAlign w:val="center"/>
          </w:tcPr>
          <w:p w14:paraId="4AA7D55E">
            <w:pPr>
              <w:pStyle w:val="12"/>
              <w:widowControl w:val="0"/>
              <w:kinsoku/>
              <w:adjustRightInd/>
              <w:snapToGrid/>
              <w:spacing w:line="360" w:lineRule="exact"/>
              <w:jc w:val="both"/>
              <w:textAlignment w:val="auto"/>
              <w:rPr>
                <w:rFonts w:hint="eastAsia" w:ascii="仿宋_GB2312" w:hAnsi="仿宋_GB2312" w:eastAsia="仿宋_GB2312" w:cs="仿宋_GB2312"/>
              </w:rPr>
            </w:pPr>
            <w:r>
              <w:rPr>
                <w:rFonts w:hint="eastAsia" w:ascii="仿宋_GB2312" w:hAnsi="仿宋_GB2312" w:eastAsia="仿宋_GB2312" w:cs="仿宋_GB2312"/>
              </w:rPr>
              <w:t>市防汛办提出启动四级应急响应建议，由市防汛办副主任审核，报防汛办主任批准。遇紧急情况，由市防汛办副主任决定。启动应急响应的决定由市防汛办通知指挥部领导及各成员单位，并将有关情况报市委、市政府和自治区防汛办，视情况向公众发布。</w:t>
            </w:r>
          </w:p>
        </w:tc>
        <w:tc>
          <w:tcPr>
            <w:tcW w:w="3276" w:type="dxa"/>
            <w:tcBorders>
              <w:top w:val="single" w:color="231F20" w:sz="4" w:space="0"/>
              <w:left w:val="single" w:color="231F20" w:sz="4" w:space="0"/>
              <w:bottom w:val="single" w:color="231F20" w:sz="4" w:space="0"/>
              <w:right w:val="single" w:color="231F20" w:sz="4" w:space="0"/>
            </w:tcBorders>
            <w:vAlign w:val="center"/>
          </w:tcPr>
          <w:p w14:paraId="23B15317">
            <w:pPr>
              <w:pStyle w:val="12"/>
              <w:widowControl w:val="0"/>
              <w:kinsoku/>
              <w:adjustRightInd/>
              <w:snapToGrid/>
              <w:spacing w:line="360" w:lineRule="exact"/>
              <w:jc w:val="both"/>
              <w:textAlignment w:val="auto"/>
              <w:rPr>
                <w:rFonts w:hint="eastAsia" w:ascii="仿宋_GB2312" w:hAnsi="仿宋_GB2312" w:eastAsia="仿宋_GB2312" w:cs="仿宋_GB2312"/>
              </w:rPr>
            </w:pPr>
            <w:r>
              <w:rPr>
                <w:rFonts w:hint="eastAsia" w:ascii="仿宋_GB2312" w:hAnsi="仿宋_GB2312" w:eastAsia="仿宋_GB2312" w:cs="仿宋_GB2312"/>
              </w:rPr>
              <w:t>市防汛办提出启动三级应急响应建议，由防汛办主任审核后，报副总指挥批准。遇紧急情况，由市防汛办主任决定。启动应急响应的决定由市防汛办通知指挥部领导及各成员单位，并将情况上报市委、市政府和自治区防汛办，视情况向公众发布。</w:t>
            </w:r>
          </w:p>
        </w:tc>
        <w:tc>
          <w:tcPr>
            <w:tcW w:w="3565" w:type="dxa"/>
            <w:tcBorders>
              <w:top w:val="single" w:color="231F20" w:sz="4" w:space="0"/>
              <w:left w:val="single" w:color="231F20" w:sz="4" w:space="0"/>
              <w:bottom w:val="single" w:color="231F20" w:sz="4" w:space="0"/>
              <w:right w:val="single" w:color="231F20" w:sz="4" w:space="0"/>
            </w:tcBorders>
            <w:vAlign w:val="center"/>
          </w:tcPr>
          <w:p w14:paraId="64CD5EF6">
            <w:pPr>
              <w:pStyle w:val="12"/>
              <w:widowControl w:val="0"/>
              <w:kinsoku/>
              <w:adjustRightInd/>
              <w:snapToGrid/>
              <w:spacing w:line="360" w:lineRule="exact"/>
              <w:jc w:val="both"/>
              <w:textAlignment w:val="auto"/>
              <w:rPr>
                <w:rFonts w:hint="eastAsia" w:ascii="仿宋_GB2312" w:hAnsi="仿宋_GB2312" w:eastAsia="仿宋_GB2312" w:cs="仿宋_GB2312"/>
              </w:rPr>
            </w:pPr>
            <w:r>
              <w:rPr>
                <w:rFonts w:hint="eastAsia" w:ascii="仿宋_GB2312" w:hAnsi="仿宋_GB2312" w:eastAsia="仿宋_GB2312" w:cs="仿宋_GB2312"/>
              </w:rPr>
              <w:t>市防汛办提出启动二级应急响应建议，由指挥部副总指挥审核后，报常务副总指挥批准。遇紧急情况，由副总指挥决定。启动应急响应的决定由市防汛办通知指挥部领导及各成员单位，并将有关情况报市委、</w:t>
            </w:r>
            <w:r>
              <w:rPr>
                <w:rFonts w:hint="eastAsia" w:ascii="仿宋_GB2312" w:hAnsi="仿宋_GB2312" w:eastAsia="仿宋_GB2312" w:cs="仿宋_GB2312"/>
                <w:lang w:val="en-US" w:eastAsia="zh-CN"/>
              </w:rPr>
              <w:t>市</w:t>
            </w:r>
            <w:r>
              <w:rPr>
                <w:rFonts w:hint="eastAsia" w:ascii="仿宋_GB2312" w:hAnsi="仿宋_GB2312" w:eastAsia="仿宋_GB2312" w:cs="仿宋_GB2312"/>
              </w:rPr>
              <w:t>政府和自治区防汛办，及时向公众发布。</w:t>
            </w:r>
          </w:p>
        </w:tc>
        <w:tc>
          <w:tcPr>
            <w:tcW w:w="3592" w:type="dxa"/>
            <w:tcBorders>
              <w:top w:val="single" w:color="231F20" w:sz="4" w:space="0"/>
              <w:left w:val="single" w:color="231F20" w:sz="4" w:space="0"/>
              <w:bottom w:val="single" w:color="231F20" w:sz="4" w:space="0"/>
            </w:tcBorders>
            <w:vAlign w:val="center"/>
          </w:tcPr>
          <w:p w14:paraId="35C0F9C1">
            <w:pPr>
              <w:pStyle w:val="12"/>
              <w:widowControl w:val="0"/>
              <w:kinsoku/>
              <w:adjustRightInd/>
              <w:snapToGrid/>
              <w:spacing w:line="360" w:lineRule="exact"/>
              <w:jc w:val="both"/>
              <w:textAlignment w:val="auto"/>
              <w:rPr>
                <w:rFonts w:hint="eastAsia" w:ascii="仿宋_GB2312" w:hAnsi="仿宋_GB2312" w:eastAsia="仿宋_GB2312" w:cs="仿宋_GB2312"/>
              </w:rPr>
            </w:pPr>
            <w:r>
              <w:rPr>
                <w:rFonts w:hint="eastAsia" w:ascii="仿宋_GB2312" w:hAnsi="仿宋_GB2312" w:eastAsia="仿宋_GB2312" w:cs="仿宋_GB2312"/>
              </w:rPr>
              <w:t>市防汛办提出启动一级应急响应建议，由常务副总指挥审核后，报总指挥批准，遇紧急情况，由常务副总指挥直接决定。启动应急响应的决定由市防汛办通知指挥部领导及各成员单位，并上报市委、市政府，自治区防指和黄河防总，同时向公众发布。</w:t>
            </w:r>
          </w:p>
        </w:tc>
      </w:tr>
      <w:tr w14:paraId="04CB0090">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7910" w:hRule="atLeast"/>
        </w:trPr>
        <w:tc>
          <w:tcPr>
            <w:tcW w:w="1249" w:type="dxa"/>
            <w:tcBorders>
              <w:top w:val="single" w:color="231F20" w:sz="4" w:space="0"/>
              <w:right w:val="single" w:color="231F20" w:sz="4" w:space="0"/>
            </w:tcBorders>
            <w:vAlign w:val="center"/>
          </w:tcPr>
          <w:p w14:paraId="1FE8F4D5">
            <w:pPr>
              <w:pStyle w:val="12"/>
              <w:widowControl w:val="0"/>
              <w:kinsoku/>
              <w:adjustRightInd/>
              <w:snapToGrid/>
              <w:spacing w:line="400" w:lineRule="exact"/>
              <w:jc w:val="both"/>
              <w:textAlignment w:val="auto"/>
              <w:rPr>
                <w:rFonts w:hint="eastAsia" w:ascii="仿宋_GB2312" w:hAnsi="仿宋_GB2312" w:eastAsia="仿宋_GB2312" w:cs="仿宋_GB2312"/>
              </w:rPr>
            </w:pPr>
            <w:r>
              <w:rPr>
                <w:rFonts w:hint="eastAsia" w:ascii="仿宋_GB2312" w:hAnsi="仿宋_GB2312" w:eastAsia="仿宋_GB2312" w:cs="仿宋_GB2312"/>
              </w:rPr>
              <w:t>前期部署及应急处置</w:t>
            </w:r>
          </w:p>
        </w:tc>
        <w:tc>
          <w:tcPr>
            <w:tcW w:w="2763" w:type="dxa"/>
            <w:tcBorders>
              <w:top w:val="single" w:color="231F20" w:sz="4" w:space="0"/>
              <w:left w:val="single" w:color="231F20" w:sz="4" w:space="0"/>
              <w:right w:val="single" w:color="231F20" w:sz="4" w:space="0"/>
            </w:tcBorders>
            <w:vAlign w:val="center"/>
          </w:tcPr>
          <w:p w14:paraId="470552E4">
            <w:pPr>
              <w:pStyle w:val="12"/>
              <w:widowControl w:val="0"/>
              <w:kinsoku/>
              <w:adjustRightInd/>
              <w:snapToGrid/>
              <w:spacing w:line="400" w:lineRule="exact"/>
              <w:jc w:val="both"/>
              <w:textAlignment w:val="auto"/>
              <w:rPr>
                <w:rFonts w:hint="eastAsia" w:ascii="仿宋_GB2312" w:hAnsi="仿宋_GB2312" w:eastAsia="仿宋_GB2312" w:cs="仿宋_GB2312"/>
              </w:rPr>
            </w:pPr>
            <w:r>
              <w:rPr>
                <w:rFonts w:hint="eastAsia" w:ascii="仿宋_GB2312" w:hAnsi="仿宋_GB2312" w:eastAsia="仿宋_GB2312" w:cs="仿宋_GB2312"/>
              </w:rPr>
              <w:t>市防汛办副主任主持会商，作出相应工作安排。市防汛办加强对防汛抗旱工作的组织协调，及时将情况上报市委、市政府并通报市防指各成员单位。</w:t>
            </w:r>
          </w:p>
        </w:tc>
        <w:tc>
          <w:tcPr>
            <w:tcW w:w="3276" w:type="dxa"/>
            <w:tcBorders>
              <w:top w:val="single" w:color="231F20" w:sz="4" w:space="0"/>
              <w:left w:val="single" w:color="231F20" w:sz="4" w:space="0"/>
              <w:right w:val="single" w:color="231F20" w:sz="4" w:space="0"/>
            </w:tcBorders>
            <w:vAlign w:val="center"/>
          </w:tcPr>
          <w:p w14:paraId="3249C18E">
            <w:pPr>
              <w:pStyle w:val="12"/>
              <w:widowControl w:val="0"/>
              <w:kinsoku/>
              <w:adjustRightInd/>
              <w:snapToGrid/>
              <w:spacing w:line="400" w:lineRule="exact"/>
              <w:jc w:val="both"/>
              <w:textAlignment w:val="auto"/>
              <w:rPr>
                <w:rFonts w:ascii="Times New Roman" w:hAnsi="Times New Roman" w:eastAsia="仿宋_GB2312" w:cs="Times New Roman"/>
              </w:rPr>
            </w:pPr>
            <w:r>
              <w:rPr>
                <w:rFonts w:hint="eastAsia" w:ascii="仿宋_GB2312" w:hAnsi="仿宋_GB2312" w:eastAsia="仿宋_GB2312" w:cs="仿宋_GB2312"/>
              </w:rPr>
              <w:t>市防指副总指挥主持会商，做出相应工作部署，全力组织开展抢险救援，决定是否采取停课、停工、停业等措施，副总指挥坐镇指挥应急处置工作，市防指集中办公。市防汛办加强对防汛抗旱工作的组织协调，及时将情况上报市委、市政府并通报市防指各成员单位。</w:t>
            </w:r>
          </w:p>
        </w:tc>
        <w:tc>
          <w:tcPr>
            <w:tcW w:w="3565" w:type="dxa"/>
            <w:tcBorders>
              <w:top w:val="single" w:color="231F20" w:sz="4" w:space="0"/>
              <w:left w:val="single" w:color="231F20" w:sz="4" w:space="0"/>
              <w:right w:val="single" w:color="231F20" w:sz="4" w:space="0"/>
            </w:tcBorders>
            <w:vAlign w:val="center"/>
          </w:tcPr>
          <w:p w14:paraId="52933E6D">
            <w:pPr>
              <w:pStyle w:val="12"/>
              <w:widowControl w:val="0"/>
              <w:kinsoku/>
              <w:adjustRightInd/>
              <w:snapToGrid/>
              <w:spacing w:line="300" w:lineRule="exact"/>
              <w:jc w:val="both"/>
              <w:textAlignment w:val="auto"/>
              <w:rPr>
                <w:rFonts w:hint="eastAsia" w:ascii="仿宋_GB2312" w:hAnsi="仿宋_GB2312" w:eastAsia="仿宋_GB2312" w:cs="仿宋_GB2312"/>
              </w:rPr>
            </w:pPr>
            <w:r>
              <w:rPr>
                <w:rFonts w:hint="eastAsia" w:ascii="仿宋_GB2312" w:hAnsi="仿宋_GB2312" w:eastAsia="仿宋_GB2312" w:cs="仿宋_GB2312"/>
              </w:rPr>
              <w:t>市防指常务副总指挥主持会商，市防指成员单位派人员参加，做出相应工作部署。常务副总指挥坐镇指挥应急处置工作，市防指成员部门集中办公，采取停课、停工、停业等措施，全面做好社会管控。如因黄河洪水或者凌汛启动应急响应，停止沿岸受威胁区一切社会活动，决定是否大规模转移群众。请求自治区派出工作组现场指导抢险救援工作，根据需要向自治区防指请调资金和物资支持。市防汛办加强对防汛抗旱工作的组织协调，及时将情况上报市委、市政府。</w:t>
            </w:r>
          </w:p>
          <w:p w14:paraId="75CEAD44">
            <w:pPr>
              <w:pStyle w:val="12"/>
              <w:widowControl w:val="0"/>
              <w:kinsoku/>
              <w:adjustRightInd/>
              <w:snapToGrid/>
              <w:spacing w:line="300" w:lineRule="exact"/>
              <w:jc w:val="both"/>
              <w:textAlignment w:val="auto"/>
              <w:rPr>
                <w:rFonts w:ascii="Times New Roman" w:hAnsi="Times New Roman" w:eastAsia="仿宋_GB2312" w:cs="Times New Roman"/>
              </w:rPr>
            </w:pPr>
            <w:r>
              <w:rPr>
                <w:rFonts w:ascii="Times New Roman" w:hAnsi="Times New Roman" w:eastAsia="仿宋_GB2312" w:cs="Times New Roman"/>
              </w:rPr>
              <w:t>受常务副总指挥委派，副总指挥按照各自分工，现场组织开展防洪排涝、交通管制、社会管控、处置险情、调拨物资、转移安置受灾群众等工作。重点处置山洪威胁区转移避险、千里山水库泄洪，受灾严重的学校、镇</w:t>
            </w:r>
            <w:r>
              <w:rPr>
                <w:rFonts w:hint="eastAsia" w:ascii="Times New Roman" w:hAnsi="Times New Roman" w:eastAsia="仿宋_GB2312" w:cs="Times New Roman"/>
              </w:rPr>
              <w:t>（</w:t>
            </w:r>
            <w:r>
              <w:rPr>
                <w:rFonts w:ascii="Times New Roman" w:hAnsi="Times New Roman" w:eastAsia="仿宋_GB2312" w:cs="Times New Roman"/>
              </w:rPr>
              <w:t>街道</w:t>
            </w:r>
            <w:r>
              <w:rPr>
                <w:rFonts w:hint="eastAsia" w:ascii="Times New Roman" w:hAnsi="Times New Roman" w:eastAsia="仿宋_GB2312" w:cs="Times New Roman"/>
              </w:rPr>
              <w:t>）</w:t>
            </w:r>
            <w:r>
              <w:rPr>
                <w:rFonts w:ascii="Times New Roman" w:hAnsi="Times New Roman" w:eastAsia="仿宋_GB2312" w:cs="Times New Roman"/>
              </w:rPr>
              <w:t>、安置点等灾情，全力组织做好交通、电力、通信、供水、水利等基础设施抢修保通工作，加强次生衍生灾害防范和排查等。做好受灾群众和抢险救援队伍的安抚、慰问，以及群众安置、生活保障、疫情防控等工作。</w:t>
            </w:r>
          </w:p>
        </w:tc>
        <w:tc>
          <w:tcPr>
            <w:tcW w:w="3592" w:type="dxa"/>
            <w:tcBorders>
              <w:top w:val="single" w:color="231F20" w:sz="4" w:space="0"/>
              <w:left w:val="single" w:color="231F20" w:sz="4" w:space="0"/>
              <w:bottom w:val="single" w:color="231F20" w:sz="4" w:space="0"/>
            </w:tcBorders>
            <w:vAlign w:val="center"/>
          </w:tcPr>
          <w:p w14:paraId="14DA0975">
            <w:pPr>
              <w:pStyle w:val="12"/>
              <w:widowControl w:val="0"/>
              <w:kinsoku/>
              <w:adjustRightInd/>
              <w:snapToGrid/>
              <w:spacing w:line="280" w:lineRule="exact"/>
              <w:jc w:val="both"/>
              <w:textAlignment w:val="auto"/>
              <w:rPr>
                <w:rFonts w:hint="eastAsia" w:ascii="仿宋_GB2312" w:hAnsi="仿宋_GB2312" w:eastAsia="仿宋_GB2312" w:cs="仿宋_GB2312"/>
              </w:rPr>
            </w:pPr>
            <w:r>
              <w:rPr>
                <w:rFonts w:hint="eastAsia" w:ascii="仿宋_GB2312" w:hAnsi="仿宋_GB2312" w:eastAsia="仿宋_GB2312" w:cs="仿宋_GB2312"/>
              </w:rPr>
              <w:t>市防指总指挥主持会商，市防指成员单位参加，做出防汛抗旱应急工作部署，总指挥坐镇指挥应急处置工作，防指各部门集中办公，采取停课、停工、停业等措施，全面做好社会管控。如因黄河洪水或者凌汛启动应急响应，停止沿岸受威胁区一切社会活动，决定是否大规模转移群众。提请自治区防指现场指挥调度，向自治区防指请调资金和物资支持，市政府根据需要按照相关程序向自治区申请解放军部队支援；市防汛办加强对防汛抗旱工作的组织协调，并将情况上报市委、市政府，自治区防指和黄河防总。根据需要报经市委主要领导同意，宣布进入紧急防汛期。</w:t>
            </w:r>
          </w:p>
          <w:p w14:paraId="0BA99BCF">
            <w:pPr>
              <w:pStyle w:val="12"/>
              <w:widowControl w:val="0"/>
              <w:kinsoku/>
              <w:adjustRightInd/>
              <w:snapToGrid/>
              <w:spacing w:line="280" w:lineRule="exact"/>
              <w:jc w:val="both"/>
              <w:textAlignment w:val="auto"/>
              <w:rPr>
                <w:rFonts w:ascii="Times New Roman" w:hAnsi="Times New Roman" w:eastAsia="仿宋_GB2312" w:cs="Times New Roman"/>
              </w:rPr>
            </w:pPr>
            <w:r>
              <w:rPr>
                <w:rFonts w:ascii="Times New Roman" w:hAnsi="Times New Roman" w:eastAsia="仿宋_GB2312" w:cs="Times New Roman"/>
              </w:rPr>
              <w:t>受总指挥委派，副总指挥按照各自分工，现场组织开展防洪排涝、交通管制、社会管控，处置险情、调拨物资、转移安置受灾群众等工作。重点处置山洪威胁区转移避险、千里山水库泄洪，受灾严重的学校、镇办、安置点等灾情，全力组织做好交通、电力、通信、供水、水利等基础设施抢修保通工作，加强次生衍生灾害防范和排查等工作。做好受灾群众和抢险救援队伍的安抚、慰问及群众安置、生活保障、疫情防控等工作。</w:t>
            </w:r>
          </w:p>
        </w:tc>
      </w:tr>
      <w:tr w14:paraId="4CA9A9DF">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580" w:hRule="atLeast"/>
        </w:trPr>
        <w:tc>
          <w:tcPr>
            <w:tcW w:w="1249" w:type="dxa"/>
            <w:tcBorders>
              <w:top w:val="single" w:color="231F20" w:sz="4" w:space="0"/>
              <w:bottom w:val="single" w:color="231F20" w:sz="4" w:space="0"/>
              <w:right w:val="single" w:color="231F20" w:sz="4" w:space="0"/>
            </w:tcBorders>
            <w:vAlign w:val="center"/>
          </w:tcPr>
          <w:p w14:paraId="7AE135CD">
            <w:pPr>
              <w:pStyle w:val="12"/>
              <w:widowControl w:val="0"/>
              <w:kinsoku/>
              <w:adjustRightInd/>
              <w:snapToGrid/>
              <w:spacing w:line="360" w:lineRule="exact"/>
              <w:jc w:val="both"/>
              <w:textAlignment w:val="auto"/>
              <w:rPr>
                <w:rFonts w:hint="eastAsia" w:ascii="仿宋_GB2312" w:hAnsi="仿宋_GB2312" w:eastAsia="仿宋_GB2312" w:cs="仿宋_GB2312"/>
              </w:rPr>
            </w:pPr>
            <w:r>
              <w:rPr>
                <w:rFonts w:hint="eastAsia" w:ascii="仿宋_GB2312" w:hAnsi="仿宋_GB2312" w:eastAsia="仿宋_GB2312" w:cs="仿宋_GB2312"/>
              </w:rPr>
              <w:t>监测预警信息调度通报</w:t>
            </w:r>
          </w:p>
        </w:tc>
        <w:tc>
          <w:tcPr>
            <w:tcW w:w="2763" w:type="dxa"/>
            <w:tcBorders>
              <w:top w:val="single" w:color="231F20" w:sz="4" w:space="0"/>
              <w:left w:val="single" w:color="231F20" w:sz="4" w:space="0"/>
              <w:bottom w:val="single" w:color="231F20" w:sz="4" w:space="0"/>
              <w:right w:val="single" w:color="231F20" w:sz="4" w:space="0"/>
            </w:tcBorders>
            <w:vAlign w:val="center"/>
          </w:tcPr>
          <w:p w14:paraId="2CDA0118">
            <w:pPr>
              <w:pStyle w:val="12"/>
              <w:widowControl w:val="0"/>
              <w:kinsoku/>
              <w:adjustRightInd/>
              <w:snapToGrid/>
              <w:spacing w:line="360" w:lineRule="exact"/>
              <w:jc w:val="both"/>
              <w:textAlignment w:val="auto"/>
              <w:rPr>
                <w:rFonts w:ascii="Times New Roman" w:hAnsi="Times New Roman" w:eastAsia="仿宋_GB2312" w:cs="Times New Roman"/>
              </w:rPr>
            </w:pPr>
            <w:r>
              <w:rPr>
                <w:rFonts w:ascii="Times New Roman" w:hAnsi="Times New Roman" w:eastAsia="仿宋_GB2312" w:cs="Times New Roman"/>
              </w:rPr>
              <w:t>市气象局滚动报送每1小时报告降雨实况及天气预报结果，当监测分析天气条件有较明显变化时，随时更新预报。市水务局每6小时报告一次水情，根据洪水发展过程，开展洪水预报并及时滚动预报。受灾地区每日12时前报告事件进展及工作动态，突发灾情、险情及时报告。遇特殊情况随时报送。</w:t>
            </w:r>
          </w:p>
        </w:tc>
        <w:tc>
          <w:tcPr>
            <w:tcW w:w="3276" w:type="dxa"/>
            <w:tcBorders>
              <w:top w:val="single" w:color="231F20" w:sz="4" w:space="0"/>
              <w:left w:val="single" w:color="231F20" w:sz="4" w:space="0"/>
              <w:bottom w:val="single" w:color="231F20" w:sz="4" w:space="0"/>
              <w:right w:val="single" w:color="231F20" w:sz="4" w:space="0"/>
            </w:tcBorders>
            <w:vAlign w:val="center"/>
          </w:tcPr>
          <w:p w14:paraId="4268C6DE">
            <w:pPr>
              <w:pStyle w:val="12"/>
              <w:widowControl w:val="0"/>
              <w:kinsoku/>
              <w:adjustRightInd/>
              <w:snapToGrid/>
              <w:spacing w:line="360" w:lineRule="exact"/>
              <w:jc w:val="both"/>
              <w:textAlignment w:val="auto"/>
              <w:rPr>
                <w:rFonts w:ascii="Times New Roman" w:hAnsi="Times New Roman" w:eastAsia="仿宋_GB2312" w:cs="Times New Roman"/>
              </w:rPr>
            </w:pPr>
            <w:r>
              <w:rPr>
                <w:rFonts w:ascii="Times New Roman" w:hAnsi="Times New Roman" w:eastAsia="仿宋_GB2312" w:cs="Times New Roman"/>
              </w:rPr>
              <w:t>市气象局滚动报送每1小时报告降雨实况和天气预报，当监测分析天气条件有较明显变化时，随时更新预报。市水务局每3小时报告一次水情，根据洪水发展过程，开展洪水预报并及时滚动预报。受灾地区每日12时前报告事件进展及工作动态， 突发灾情、险情及时报告。遇特殊情况随时报送。</w:t>
            </w:r>
          </w:p>
        </w:tc>
        <w:tc>
          <w:tcPr>
            <w:tcW w:w="3565" w:type="dxa"/>
            <w:tcBorders>
              <w:top w:val="single" w:color="231F20" w:sz="4" w:space="0"/>
              <w:left w:val="single" w:color="231F20" w:sz="4" w:space="0"/>
              <w:bottom w:val="single" w:color="231F20" w:sz="4" w:space="0"/>
              <w:right w:val="single" w:color="231F20" w:sz="4" w:space="0"/>
            </w:tcBorders>
            <w:vAlign w:val="center"/>
          </w:tcPr>
          <w:p w14:paraId="48A2019F">
            <w:pPr>
              <w:pStyle w:val="12"/>
              <w:widowControl w:val="0"/>
              <w:kinsoku/>
              <w:adjustRightInd/>
              <w:snapToGrid/>
              <w:spacing w:line="360" w:lineRule="exact"/>
              <w:jc w:val="both"/>
              <w:textAlignment w:val="auto"/>
              <w:rPr>
                <w:rFonts w:ascii="Times New Roman" w:hAnsi="Times New Roman" w:eastAsia="仿宋_GB2312" w:cs="Times New Roman"/>
              </w:rPr>
            </w:pPr>
            <w:r>
              <w:rPr>
                <w:rFonts w:ascii="Times New Roman" w:hAnsi="Times New Roman" w:eastAsia="仿宋_GB2312" w:cs="Times New Roman"/>
              </w:rPr>
              <w:t>市气象局滚动报送每1小时降雨实况及天气预报，当监测分析天气条件有较明显变化时，随时更新报送雨情监测和预报。市水务局每1小时报告一次水情，根据洪水发展过程，开展洪水预报并及时滚动预报。受灾地区每日12时前报告事件进展及工作动态，突发灾情、险情及时报告。遇特殊情况随时报送。</w:t>
            </w:r>
          </w:p>
        </w:tc>
        <w:tc>
          <w:tcPr>
            <w:tcW w:w="3592" w:type="dxa"/>
            <w:tcBorders>
              <w:top w:val="single" w:color="231F20" w:sz="4" w:space="0"/>
              <w:left w:val="single" w:color="231F20" w:sz="4" w:space="0"/>
              <w:bottom w:val="single" w:color="231F20" w:sz="4" w:space="0"/>
            </w:tcBorders>
            <w:vAlign w:val="center"/>
          </w:tcPr>
          <w:p w14:paraId="0A251BD6">
            <w:pPr>
              <w:pStyle w:val="12"/>
              <w:widowControl w:val="0"/>
              <w:kinsoku/>
              <w:adjustRightInd/>
              <w:snapToGrid/>
              <w:spacing w:line="360" w:lineRule="exact"/>
              <w:jc w:val="both"/>
              <w:textAlignment w:val="auto"/>
              <w:rPr>
                <w:rFonts w:ascii="Times New Roman" w:hAnsi="Times New Roman" w:eastAsia="仿宋_GB2312" w:cs="Times New Roman"/>
              </w:rPr>
            </w:pPr>
            <w:r>
              <w:rPr>
                <w:rFonts w:ascii="Times New Roman" w:hAnsi="Times New Roman" w:eastAsia="仿宋_GB2312" w:cs="Times New Roman"/>
              </w:rPr>
              <w:t>市气象局滚动报送每1小时降雨实况及天气预报，并根据监测情况实时更新预报，遇到突发情况随时报告。市水务局根据洪水发展过程，开展洪水预报并及时滚动预报。受灾地区每日12时前报告事件进展及工作动态，突发灾情、险情随时报告。遇特殊情况随时报送。</w:t>
            </w:r>
          </w:p>
        </w:tc>
      </w:tr>
      <w:tr w14:paraId="0454EE5B">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3000" w:hRule="atLeast"/>
        </w:trPr>
        <w:tc>
          <w:tcPr>
            <w:tcW w:w="1249" w:type="dxa"/>
            <w:tcBorders>
              <w:top w:val="single" w:color="231F20" w:sz="4" w:space="0"/>
              <w:right w:val="single" w:color="231F20" w:sz="4" w:space="0"/>
            </w:tcBorders>
            <w:vAlign w:val="center"/>
          </w:tcPr>
          <w:p w14:paraId="23E6B4A4">
            <w:pPr>
              <w:pStyle w:val="12"/>
              <w:widowControl w:val="0"/>
              <w:kinsoku/>
              <w:adjustRightInd/>
              <w:snapToGrid/>
              <w:spacing w:line="360" w:lineRule="exact"/>
              <w:jc w:val="both"/>
              <w:textAlignment w:val="auto"/>
              <w:rPr>
                <w:rFonts w:hint="eastAsia" w:ascii="仿宋_GB2312" w:hAnsi="仿宋_GB2312" w:eastAsia="仿宋_GB2312" w:cs="仿宋_GB2312"/>
              </w:rPr>
            </w:pPr>
            <w:r>
              <w:rPr>
                <w:rFonts w:hint="eastAsia" w:ascii="仿宋_GB2312" w:hAnsi="仿宋_GB2312" w:eastAsia="仿宋_GB2312" w:cs="仿宋_GB2312"/>
              </w:rPr>
              <w:t>综合信息报送</w:t>
            </w:r>
          </w:p>
        </w:tc>
        <w:tc>
          <w:tcPr>
            <w:tcW w:w="2763" w:type="dxa"/>
            <w:tcBorders>
              <w:top w:val="single" w:color="231F20" w:sz="4" w:space="0"/>
              <w:left w:val="single" w:color="231F20" w:sz="4" w:space="0"/>
              <w:right w:val="single" w:color="231F20" w:sz="4" w:space="0"/>
            </w:tcBorders>
            <w:vAlign w:val="center"/>
          </w:tcPr>
          <w:p w14:paraId="64ACCF3E">
            <w:pPr>
              <w:pStyle w:val="12"/>
              <w:widowControl w:val="0"/>
              <w:kinsoku/>
              <w:adjustRightInd/>
              <w:snapToGrid/>
              <w:spacing w:line="360" w:lineRule="exact"/>
              <w:jc w:val="both"/>
              <w:textAlignment w:val="auto"/>
              <w:rPr>
                <w:rFonts w:ascii="Times New Roman" w:hAnsi="Times New Roman" w:eastAsia="仿宋_GB2312" w:cs="Times New Roman"/>
              </w:rPr>
            </w:pPr>
            <w:r>
              <w:rPr>
                <w:rFonts w:ascii="Times New Roman" w:hAnsi="Times New Roman" w:eastAsia="仿宋_GB2312" w:cs="Times New Roman"/>
              </w:rPr>
              <w:t>市防汛办将情况上报自治区应急厅、市委和市政府，市防汛办将情况向上级防指报送，同时向各区防指及市防指成员单位通报有关汛情灾情情况。</w:t>
            </w:r>
          </w:p>
        </w:tc>
        <w:tc>
          <w:tcPr>
            <w:tcW w:w="3276" w:type="dxa"/>
            <w:tcBorders>
              <w:top w:val="single" w:color="231F20" w:sz="4" w:space="0"/>
              <w:left w:val="single" w:color="231F20" w:sz="4" w:space="0"/>
              <w:right w:val="single" w:color="231F20" w:sz="4" w:space="0"/>
            </w:tcBorders>
            <w:vAlign w:val="center"/>
          </w:tcPr>
          <w:p w14:paraId="54976B4B">
            <w:pPr>
              <w:pStyle w:val="12"/>
              <w:widowControl w:val="0"/>
              <w:kinsoku/>
              <w:adjustRightInd/>
              <w:snapToGrid/>
              <w:spacing w:line="360" w:lineRule="exact"/>
              <w:jc w:val="both"/>
              <w:textAlignment w:val="auto"/>
              <w:rPr>
                <w:rFonts w:ascii="Times New Roman" w:hAnsi="Times New Roman" w:eastAsia="仿宋_GB2312" w:cs="Times New Roman"/>
              </w:rPr>
            </w:pPr>
            <w:r>
              <w:rPr>
                <w:rFonts w:ascii="Times New Roman" w:hAnsi="Times New Roman" w:eastAsia="仿宋_GB2312" w:cs="Times New Roman"/>
              </w:rPr>
              <w:t>市防汛办将情况上报自治区应急厅、市委和市政府，市防汛办将情况向上级防指报送，同时向各区防指及市防指成员单位通报有关汛情灾情情况。</w:t>
            </w:r>
          </w:p>
        </w:tc>
        <w:tc>
          <w:tcPr>
            <w:tcW w:w="3565" w:type="dxa"/>
            <w:tcBorders>
              <w:top w:val="single" w:color="231F20" w:sz="4" w:space="0"/>
              <w:left w:val="single" w:color="231F20" w:sz="4" w:space="0"/>
              <w:right w:val="single" w:color="231F20" w:sz="4" w:space="0"/>
            </w:tcBorders>
            <w:vAlign w:val="center"/>
          </w:tcPr>
          <w:p w14:paraId="4FFBFA0E">
            <w:pPr>
              <w:pStyle w:val="12"/>
              <w:widowControl w:val="0"/>
              <w:kinsoku/>
              <w:adjustRightInd/>
              <w:snapToGrid/>
              <w:spacing w:line="360" w:lineRule="exact"/>
              <w:jc w:val="both"/>
              <w:textAlignment w:val="auto"/>
              <w:rPr>
                <w:rFonts w:ascii="Times New Roman" w:hAnsi="Times New Roman" w:eastAsia="仿宋_GB2312" w:cs="Times New Roman"/>
              </w:rPr>
            </w:pPr>
            <w:r>
              <w:rPr>
                <w:rFonts w:ascii="Times New Roman" w:hAnsi="Times New Roman" w:eastAsia="仿宋_GB2312" w:cs="Times New Roman"/>
              </w:rPr>
              <w:t>市防汛办将情况上报自治区应急厅、市委和市政府，市防汛办将情况向上级防指报送，同时向各区防指及市防指成员单位通报有关汛情灾情情况。</w:t>
            </w:r>
          </w:p>
        </w:tc>
        <w:tc>
          <w:tcPr>
            <w:tcW w:w="3592" w:type="dxa"/>
            <w:tcBorders>
              <w:top w:val="single" w:color="231F20" w:sz="4" w:space="0"/>
              <w:left w:val="single" w:color="231F20" w:sz="4" w:space="0"/>
            </w:tcBorders>
            <w:vAlign w:val="center"/>
          </w:tcPr>
          <w:p w14:paraId="10B4D4D0">
            <w:pPr>
              <w:pStyle w:val="12"/>
              <w:widowControl w:val="0"/>
              <w:kinsoku/>
              <w:adjustRightInd/>
              <w:snapToGrid/>
              <w:spacing w:line="360" w:lineRule="exact"/>
              <w:jc w:val="both"/>
              <w:textAlignment w:val="auto"/>
              <w:rPr>
                <w:rFonts w:ascii="Times New Roman" w:hAnsi="Times New Roman" w:eastAsia="仿宋_GB2312" w:cs="Times New Roman"/>
              </w:rPr>
            </w:pPr>
            <w:r>
              <w:rPr>
                <w:rFonts w:ascii="Times New Roman" w:hAnsi="Times New Roman" w:eastAsia="仿宋_GB2312" w:cs="Times New Roman"/>
              </w:rPr>
              <w:t>市防汛办将情况上报自治区应急厅、市委和市政府，市防汛办将情况向上级防指报送，同时向各区防指及市防指成员单位通报有关汛情灾情情况。</w:t>
            </w:r>
          </w:p>
        </w:tc>
      </w:tr>
    </w:tbl>
    <w:p w14:paraId="0A17A738">
      <w:pPr>
        <w:pStyle w:val="12"/>
        <w:spacing w:line="340" w:lineRule="exact"/>
        <w:rPr>
          <w:rFonts w:hint="eastAsia" w:ascii="黑体" w:hAnsi="黑体" w:eastAsia="黑体" w:cs="黑体"/>
          <w:spacing w:val="15"/>
          <w:sz w:val="28"/>
          <w:szCs w:val="28"/>
        </w:rPr>
      </w:pPr>
      <w:r>
        <w:rPr>
          <w:rFonts w:hint="eastAsia" w:ascii="黑体" w:hAnsi="黑体" w:eastAsia="黑体" w:cs="黑体"/>
          <w:spacing w:val="15"/>
          <w:sz w:val="28"/>
          <w:szCs w:val="28"/>
        </w:rPr>
        <w:br w:type="page"/>
      </w:r>
    </w:p>
    <w:tbl>
      <w:tblPr>
        <w:tblStyle w:val="7"/>
        <w:tblW w:w="14671" w:type="dxa"/>
        <w:jc w:val="center"/>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autofit"/>
        <w:tblCellMar>
          <w:top w:w="0" w:type="dxa"/>
          <w:left w:w="0" w:type="dxa"/>
          <w:bottom w:w="0" w:type="dxa"/>
          <w:right w:w="0" w:type="dxa"/>
        </w:tblCellMar>
      </w:tblPr>
      <w:tblGrid>
        <w:gridCol w:w="1174"/>
        <w:gridCol w:w="3260"/>
        <w:gridCol w:w="3908"/>
        <w:gridCol w:w="3171"/>
        <w:gridCol w:w="3158"/>
      </w:tblGrid>
      <w:tr w14:paraId="4A43892F">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372" w:hRule="atLeast"/>
          <w:tblHeader/>
          <w:jc w:val="center"/>
        </w:trPr>
        <w:tc>
          <w:tcPr>
            <w:tcW w:w="1174" w:type="dxa"/>
            <w:tcBorders>
              <w:bottom w:val="single" w:color="231F20" w:sz="4" w:space="0"/>
              <w:right w:val="single" w:color="231F20" w:sz="4" w:space="0"/>
            </w:tcBorders>
          </w:tcPr>
          <w:p w14:paraId="4876C96A">
            <w:pPr>
              <w:pStyle w:val="12"/>
              <w:spacing w:line="340" w:lineRule="exact"/>
              <w:jc w:val="center"/>
              <w:rPr>
                <w:rFonts w:hint="eastAsia" w:ascii="黑体" w:hAnsi="黑体" w:eastAsia="黑体" w:cs="黑体"/>
              </w:rPr>
            </w:pPr>
            <w:r>
              <w:rPr>
                <w:rFonts w:hint="eastAsia" w:ascii="黑体" w:hAnsi="黑体" w:eastAsia="黑体" w:cs="黑体"/>
                <w:spacing w:val="15"/>
              </w:rPr>
              <w:t>判别对</w:t>
            </w:r>
            <w:r>
              <w:rPr>
                <w:rFonts w:hint="eastAsia" w:ascii="黑体" w:hAnsi="黑体" w:eastAsia="黑体" w:cs="黑体"/>
                <w:spacing w:val="-10"/>
              </w:rPr>
              <w:t>象</w:t>
            </w:r>
          </w:p>
        </w:tc>
        <w:tc>
          <w:tcPr>
            <w:tcW w:w="3260" w:type="dxa"/>
            <w:tcBorders>
              <w:left w:val="single" w:color="231F20" w:sz="4" w:space="0"/>
              <w:bottom w:val="single" w:color="231F20" w:sz="4" w:space="0"/>
              <w:right w:val="single" w:color="231F20" w:sz="4" w:space="0"/>
            </w:tcBorders>
          </w:tcPr>
          <w:p w14:paraId="1019B895">
            <w:pPr>
              <w:pStyle w:val="12"/>
              <w:spacing w:line="340" w:lineRule="exact"/>
              <w:jc w:val="center"/>
              <w:rPr>
                <w:rFonts w:hint="eastAsia" w:ascii="黑体" w:hAnsi="黑体" w:eastAsia="黑体" w:cs="黑体"/>
              </w:rPr>
            </w:pPr>
            <w:r>
              <w:rPr>
                <w:rFonts w:hint="eastAsia" w:ascii="黑体" w:hAnsi="黑体" w:eastAsia="黑体" w:cs="黑体"/>
                <w:spacing w:val="44"/>
              </w:rPr>
              <w:t>四级应急响</w:t>
            </w:r>
            <w:r>
              <w:rPr>
                <w:rFonts w:hint="eastAsia" w:ascii="黑体" w:hAnsi="黑体" w:eastAsia="黑体" w:cs="黑体"/>
                <w:spacing w:val="-10"/>
              </w:rPr>
              <w:t>应</w:t>
            </w:r>
          </w:p>
        </w:tc>
        <w:tc>
          <w:tcPr>
            <w:tcW w:w="3908" w:type="dxa"/>
            <w:tcBorders>
              <w:left w:val="single" w:color="231F20" w:sz="4" w:space="0"/>
              <w:bottom w:val="single" w:color="231F20" w:sz="4" w:space="0"/>
              <w:right w:val="single" w:color="231F20" w:sz="4" w:space="0"/>
            </w:tcBorders>
          </w:tcPr>
          <w:p w14:paraId="45CAF423">
            <w:pPr>
              <w:pStyle w:val="12"/>
              <w:spacing w:line="340" w:lineRule="exact"/>
              <w:jc w:val="center"/>
              <w:rPr>
                <w:rFonts w:hint="eastAsia" w:ascii="黑体" w:hAnsi="黑体" w:eastAsia="黑体" w:cs="黑体"/>
              </w:rPr>
            </w:pPr>
            <w:r>
              <w:rPr>
                <w:rFonts w:hint="eastAsia" w:ascii="黑体" w:hAnsi="黑体" w:eastAsia="黑体" w:cs="黑体"/>
                <w:spacing w:val="44"/>
              </w:rPr>
              <w:t>三级应急响</w:t>
            </w:r>
            <w:r>
              <w:rPr>
                <w:rFonts w:hint="eastAsia" w:ascii="黑体" w:hAnsi="黑体" w:eastAsia="黑体" w:cs="黑体"/>
                <w:spacing w:val="-10"/>
              </w:rPr>
              <w:t>应</w:t>
            </w:r>
          </w:p>
        </w:tc>
        <w:tc>
          <w:tcPr>
            <w:tcW w:w="3171" w:type="dxa"/>
            <w:tcBorders>
              <w:left w:val="single" w:color="231F20" w:sz="4" w:space="0"/>
              <w:bottom w:val="single" w:color="231F20" w:sz="4" w:space="0"/>
              <w:right w:val="single" w:color="231F20" w:sz="4" w:space="0"/>
            </w:tcBorders>
          </w:tcPr>
          <w:p w14:paraId="1604AB8C">
            <w:pPr>
              <w:pStyle w:val="12"/>
              <w:spacing w:line="340" w:lineRule="exact"/>
              <w:jc w:val="center"/>
              <w:rPr>
                <w:rFonts w:hint="eastAsia" w:ascii="黑体" w:hAnsi="黑体" w:eastAsia="黑体" w:cs="黑体"/>
              </w:rPr>
            </w:pPr>
            <w:r>
              <w:rPr>
                <w:rFonts w:hint="eastAsia" w:ascii="黑体" w:hAnsi="黑体" w:eastAsia="黑体" w:cs="黑体"/>
                <w:spacing w:val="44"/>
              </w:rPr>
              <w:t>二级应急响</w:t>
            </w:r>
            <w:r>
              <w:rPr>
                <w:rFonts w:hint="eastAsia" w:ascii="黑体" w:hAnsi="黑体" w:eastAsia="黑体" w:cs="黑体"/>
                <w:spacing w:val="-10"/>
              </w:rPr>
              <w:t>应</w:t>
            </w:r>
          </w:p>
        </w:tc>
        <w:tc>
          <w:tcPr>
            <w:tcW w:w="3158" w:type="dxa"/>
            <w:tcBorders>
              <w:left w:val="single" w:color="231F20" w:sz="4" w:space="0"/>
              <w:bottom w:val="single" w:color="231F20" w:sz="4" w:space="0"/>
            </w:tcBorders>
          </w:tcPr>
          <w:p w14:paraId="4C35E29D">
            <w:pPr>
              <w:pStyle w:val="12"/>
              <w:spacing w:line="340" w:lineRule="exact"/>
              <w:jc w:val="center"/>
              <w:rPr>
                <w:rFonts w:hint="eastAsia" w:ascii="黑体" w:hAnsi="黑体" w:eastAsia="黑体" w:cs="黑体"/>
              </w:rPr>
            </w:pPr>
            <w:r>
              <w:rPr>
                <w:rFonts w:hint="eastAsia" w:ascii="黑体" w:hAnsi="黑体" w:eastAsia="黑体" w:cs="黑体"/>
                <w:spacing w:val="44"/>
              </w:rPr>
              <w:t>一级应急响</w:t>
            </w:r>
            <w:r>
              <w:rPr>
                <w:rFonts w:hint="eastAsia" w:ascii="黑体" w:hAnsi="黑体" w:eastAsia="黑体" w:cs="黑体"/>
                <w:spacing w:val="-10"/>
              </w:rPr>
              <w:t>应</w:t>
            </w:r>
          </w:p>
        </w:tc>
      </w:tr>
      <w:tr w14:paraId="21AC6968">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7878" w:hRule="atLeast"/>
          <w:jc w:val="center"/>
        </w:trPr>
        <w:tc>
          <w:tcPr>
            <w:tcW w:w="1174" w:type="dxa"/>
            <w:tcBorders>
              <w:top w:val="single" w:color="231F20" w:sz="4" w:space="0"/>
              <w:right w:val="single" w:color="231F20" w:sz="4" w:space="0"/>
            </w:tcBorders>
            <w:vAlign w:val="center"/>
          </w:tcPr>
          <w:p w14:paraId="1BF2BC59">
            <w:pPr>
              <w:pStyle w:val="12"/>
              <w:spacing w:line="280" w:lineRule="exact"/>
              <w:jc w:val="both"/>
              <w:rPr>
                <w:rFonts w:hint="eastAsia" w:ascii="仿宋_GB2312" w:hAnsi="仿宋_GB2312" w:eastAsia="仿宋_GB2312" w:cs="仿宋_GB2312"/>
              </w:rPr>
            </w:pPr>
            <w:r>
              <w:rPr>
                <w:rFonts w:hint="eastAsia" w:ascii="仿宋_GB2312" w:hAnsi="仿宋_GB2312" w:eastAsia="仿宋_GB2312" w:cs="仿宋_GB2312"/>
                <w:spacing w:val="11"/>
              </w:rPr>
              <w:t>行业部</w:t>
            </w:r>
            <w:r>
              <w:rPr>
                <w:rFonts w:hint="eastAsia" w:ascii="仿宋_GB2312" w:hAnsi="仿宋_GB2312" w:eastAsia="仿宋_GB2312" w:cs="仿宋_GB2312"/>
              </w:rPr>
              <w:t>门</w:t>
            </w:r>
            <w:r>
              <w:rPr>
                <w:rFonts w:hint="eastAsia" w:ascii="仿宋_GB2312" w:hAnsi="仿宋_GB2312" w:eastAsia="仿宋_GB2312" w:cs="仿宋_GB2312"/>
                <w:spacing w:val="15"/>
              </w:rPr>
              <w:t>响应措</w:t>
            </w:r>
            <w:r>
              <w:rPr>
                <w:rFonts w:hint="eastAsia" w:ascii="仿宋_GB2312" w:hAnsi="仿宋_GB2312" w:eastAsia="仿宋_GB2312" w:cs="仿宋_GB2312"/>
                <w:spacing w:val="-10"/>
              </w:rPr>
              <w:t>施</w:t>
            </w:r>
          </w:p>
        </w:tc>
        <w:tc>
          <w:tcPr>
            <w:tcW w:w="3260" w:type="dxa"/>
            <w:tcBorders>
              <w:top w:val="single" w:color="231F20" w:sz="4" w:space="0"/>
              <w:left w:val="single" w:color="231F20" w:sz="4" w:space="0"/>
              <w:right w:val="single" w:color="231F20" w:sz="4" w:space="0"/>
            </w:tcBorders>
            <w:vAlign w:val="center"/>
          </w:tcPr>
          <w:p w14:paraId="4A3067DD">
            <w:pPr>
              <w:pStyle w:val="12"/>
              <w:widowControl w:val="0"/>
              <w:kinsoku/>
              <w:adjustRightInd/>
              <w:snapToGrid/>
              <w:spacing w:line="300" w:lineRule="exact"/>
              <w:textAlignment w:val="auto"/>
              <w:rPr>
                <w:rFonts w:hint="eastAsia" w:ascii="仿宋_GB2312" w:hAnsi="仿宋_GB2312" w:eastAsia="仿宋_GB2312" w:cs="仿宋_GB2312"/>
              </w:rPr>
            </w:pPr>
            <w:r>
              <w:rPr>
                <w:rFonts w:hint="eastAsia" w:ascii="仿宋_GB2312" w:hAnsi="仿宋_GB2312" w:eastAsia="仿宋_GB2312" w:cs="仿宋_GB2312"/>
              </w:rPr>
              <w:t>市应急管理局根据险情及时调动应急抢险队伍，根据需要调拨全市范围内抢险救灾物资；增加值班人员，密切监视汛情、旱情和工情的发展变化；定期上报汛情及抗洪抢险、抗旱情况，加强对直接管理行业的防汛监督检查工作；督促指导全市煤矿企业做好防洪工作。</w:t>
            </w:r>
          </w:p>
          <w:p w14:paraId="3E0D78B4">
            <w:pPr>
              <w:pStyle w:val="12"/>
              <w:widowControl w:val="0"/>
              <w:kinsoku/>
              <w:adjustRightInd/>
              <w:snapToGrid/>
              <w:spacing w:line="300" w:lineRule="exact"/>
              <w:textAlignment w:val="auto"/>
              <w:rPr>
                <w:rFonts w:hint="eastAsia" w:ascii="仿宋_GB2312" w:hAnsi="仿宋_GB2312" w:eastAsia="仿宋_GB2312" w:cs="仿宋_GB2312"/>
              </w:rPr>
            </w:pPr>
            <w:r>
              <w:rPr>
                <w:rFonts w:hint="eastAsia" w:ascii="仿宋_GB2312" w:hAnsi="仿宋_GB2312" w:eastAsia="仿宋_GB2312" w:cs="仿宋_GB2312"/>
              </w:rPr>
              <w:t>市水务局负责人第一时间组织带领由工程技术人员组成的专家组赴一线向指挥部提供抢险方案等参谋意见。市、区两级水务部门要组织加强工程、堤岸巡查，实时掌握汛情和工情的发展变化，做好汛情预测预报，做好重点工程调度，通报现场情况，实时会商。</w:t>
            </w:r>
          </w:p>
          <w:p w14:paraId="25DC6F0E">
            <w:pPr>
              <w:pStyle w:val="12"/>
              <w:widowControl w:val="0"/>
              <w:kinsoku/>
              <w:adjustRightInd/>
              <w:snapToGrid/>
              <w:spacing w:line="300" w:lineRule="exact"/>
              <w:textAlignment w:val="auto"/>
              <w:rPr>
                <w:rFonts w:hint="eastAsia" w:ascii="仿宋_GB2312" w:hAnsi="仿宋_GB2312" w:eastAsia="仿宋_GB2312" w:cs="仿宋_GB2312"/>
              </w:rPr>
            </w:pPr>
            <w:r>
              <w:rPr>
                <w:rFonts w:hint="eastAsia" w:ascii="仿宋_GB2312" w:hAnsi="仿宋_GB2312" w:eastAsia="仿宋_GB2312" w:cs="仿宋_GB2312"/>
              </w:rPr>
              <w:t>市气象局加密气象预报，发生旱情时，做好人工影响天气工作。</w:t>
            </w:r>
          </w:p>
          <w:p w14:paraId="149D2183">
            <w:pPr>
              <w:pStyle w:val="12"/>
              <w:widowControl w:val="0"/>
              <w:kinsoku/>
              <w:adjustRightInd/>
              <w:snapToGrid/>
              <w:spacing w:line="300" w:lineRule="exact"/>
              <w:textAlignment w:val="auto"/>
              <w:rPr>
                <w:rFonts w:hint="eastAsia" w:ascii="仿宋_GB2312" w:hAnsi="仿宋_GB2312" w:eastAsia="仿宋_GB2312" w:cs="仿宋_GB2312"/>
              </w:rPr>
            </w:pPr>
            <w:r>
              <w:rPr>
                <w:rFonts w:hint="eastAsia" w:ascii="仿宋_GB2312" w:hAnsi="仿宋_GB2312" w:eastAsia="仿宋_GB2312" w:cs="仿宋_GB2312"/>
              </w:rPr>
              <w:t>市自然资源局督促、指导做好地质灾害隐患点的巡查以及重点地区地质灾害的监测预警和预报工作，组织地质灾害应急救援专家队伍进入待命状态。</w:t>
            </w:r>
          </w:p>
          <w:p w14:paraId="6B1B659F">
            <w:pPr>
              <w:pStyle w:val="12"/>
              <w:widowControl w:val="0"/>
              <w:kinsoku/>
              <w:adjustRightInd/>
              <w:snapToGrid/>
              <w:spacing w:line="300" w:lineRule="exact"/>
              <w:textAlignment w:val="auto"/>
              <w:rPr>
                <w:rFonts w:hint="eastAsia" w:ascii="仿宋_GB2312" w:hAnsi="仿宋_GB2312" w:eastAsia="仿宋_GB2312" w:cs="仿宋_GB2312"/>
              </w:rPr>
            </w:pPr>
            <w:r>
              <w:rPr>
                <w:rFonts w:hint="eastAsia" w:ascii="仿宋_GB2312" w:hAnsi="仿宋_GB2312" w:eastAsia="仿宋_GB2312" w:cs="仿宋_GB2312"/>
              </w:rPr>
              <w:t>市交通运输局为防汛抗旱物资运输提供运输保障。</w:t>
            </w:r>
          </w:p>
          <w:p w14:paraId="15166619">
            <w:pPr>
              <w:pStyle w:val="12"/>
              <w:widowControl w:val="0"/>
              <w:kinsoku/>
              <w:adjustRightInd/>
              <w:snapToGrid/>
              <w:spacing w:line="300" w:lineRule="exact"/>
              <w:textAlignment w:val="auto"/>
              <w:rPr>
                <w:rFonts w:hint="eastAsia" w:ascii="仿宋_GB2312" w:hAnsi="仿宋_GB2312" w:eastAsia="仿宋_GB2312" w:cs="仿宋_GB2312"/>
              </w:rPr>
            </w:pPr>
            <w:r>
              <w:rPr>
                <w:rFonts w:hint="eastAsia" w:ascii="仿宋_GB2312" w:hAnsi="仿宋_GB2312" w:eastAsia="仿宋_GB2312" w:cs="仿宋_GB2312"/>
              </w:rPr>
              <w:t>市住房和城乡建设局做好城市排涝工作和城市供水调度、管理工作。</w:t>
            </w:r>
          </w:p>
          <w:p w14:paraId="17577EC3">
            <w:pPr>
              <w:pStyle w:val="12"/>
              <w:widowControl w:val="0"/>
              <w:kinsoku/>
              <w:adjustRightInd/>
              <w:snapToGrid/>
              <w:spacing w:line="300" w:lineRule="exact"/>
              <w:textAlignment w:val="auto"/>
              <w:rPr>
                <w:rFonts w:hint="eastAsia" w:ascii="仿宋_GB2312" w:hAnsi="仿宋_GB2312" w:eastAsia="仿宋_GB2312" w:cs="仿宋_GB2312"/>
              </w:rPr>
            </w:pPr>
            <w:r>
              <w:rPr>
                <w:rFonts w:hint="eastAsia" w:ascii="仿宋_GB2312" w:hAnsi="仿宋_GB2312" w:eastAsia="仿宋_GB2312" w:cs="仿宋_GB2312"/>
              </w:rPr>
              <w:t>市公用事业发展中心做好滨河区的排涝工作和甘德尔河涵闸的防汛工作。</w:t>
            </w:r>
          </w:p>
          <w:p w14:paraId="12A6C2BA">
            <w:pPr>
              <w:pStyle w:val="12"/>
              <w:widowControl w:val="0"/>
              <w:kinsoku/>
              <w:adjustRightInd/>
              <w:snapToGrid/>
              <w:spacing w:line="300" w:lineRule="exact"/>
              <w:textAlignment w:val="auto"/>
              <w:rPr>
                <w:rFonts w:hint="eastAsia" w:ascii="仿宋_GB2312" w:hAnsi="仿宋_GB2312" w:eastAsia="仿宋_GB2312" w:cs="仿宋_GB2312"/>
              </w:rPr>
            </w:pPr>
            <w:r>
              <w:rPr>
                <w:rFonts w:hint="eastAsia" w:ascii="仿宋_GB2312" w:hAnsi="仿宋_GB2312" w:eastAsia="仿宋_GB2312" w:cs="仿宋_GB2312"/>
              </w:rPr>
              <w:t>市委宣传部组织市融媒体中心向公众及时发送、发布警示信息。</w:t>
            </w:r>
          </w:p>
          <w:p w14:paraId="228922C7">
            <w:pPr>
              <w:pStyle w:val="12"/>
              <w:widowControl w:val="0"/>
              <w:kinsoku/>
              <w:adjustRightInd/>
              <w:snapToGrid/>
              <w:spacing w:line="300" w:lineRule="exact"/>
              <w:textAlignment w:val="auto"/>
              <w:rPr>
                <w:rFonts w:hint="eastAsia" w:ascii="仿宋_GB2312" w:hAnsi="仿宋_GB2312" w:eastAsia="仿宋_GB2312" w:cs="仿宋_GB2312"/>
              </w:rPr>
            </w:pPr>
            <w:r>
              <w:rPr>
                <w:rFonts w:hint="eastAsia" w:ascii="仿宋_GB2312" w:hAnsi="仿宋_GB2312" w:eastAsia="仿宋_GB2312" w:cs="仿宋_GB2312"/>
              </w:rPr>
              <w:t>市公安局做好涉险路段警戒管控工作。</w:t>
            </w:r>
          </w:p>
          <w:p w14:paraId="0207F188">
            <w:pPr>
              <w:pStyle w:val="12"/>
              <w:widowControl w:val="0"/>
              <w:kinsoku/>
              <w:adjustRightInd/>
              <w:snapToGrid/>
              <w:spacing w:line="300" w:lineRule="exact"/>
              <w:textAlignment w:val="auto"/>
              <w:rPr>
                <w:rFonts w:hint="eastAsia" w:ascii="仿宋_GB2312" w:hAnsi="仿宋_GB2312" w:eastAsia="仿宋_GB2312" w:cs="仿宋_GB2312"/>
              </w:rPr>
            </w:pPr>
            <w:r>
              <w:rPr>
                <w:rFonts w:hint="eastAsia" w:ascii="仿宋_GB2312" w:hAnsi="仿宋_GB2312" w:eastAsia="仿宋_GB2312" w:cs="仿宋_GB2312"/>
              </w:rPr>
              <w:t>移动、联通、电信公司确保通讯畅通，必要时派出移动卫星通信指挥车。</w:t>
            </w:r>
          </w:p>
          <w:p w14:paraId="05C99B98">
            <w:pPr>
              <w:pStyle w:val="12"/>
              <w:widowControl w:val="0"/>
              <w:kinsoku/>
              <w:adjustRightInd/>
              <w:snapToGrid/>
              <w:spacing w:line="300" w:lineRule="exact"/>
              <w:textAlignment w:val="auto"/>
              <w:rPr>
                <w:rFonts w:hint="eastAsia" w:ascii="仿宋_GB2312" w:hAnsi="仿宋_GB2312" w:eastAsia="仿宋_GB2312" w:cs="仿宋_GB2312"/>
              </w:rPr>
            </w:pPr>
            <w:r>
              <w:rPr>
                <w:rFonts w:hint="eastAsia" w:ascii="仿宋_GB2312" w:hAnsi="仿宋_GB2312" w:eastAsia="仿宋_GB2312" w:cs="仿宋_GB2312"/>
              </w:rPr>
              <w:t>市卫生健康委员会派出医疗队伍开展医疗救治。</w:t>
            </w:r>
          </w:p>
          <w:p w14:paraId="2262B7A4">
            <w:pPr>
              <w:pStyle w:val="12"/>
              <w:widowControl w:val="0"/>
              <w:kinsoku/>
              <w:adjustRightInd/>
              <w:snapToGrid/>
              <w:spacing w:line="300" w:lineRule="exact"/>
              <w:textAlignment w:val="auto"/>
              <w:rPr>
                <w:rFonts w:hint="eastAsia" w:ascii="仿宋_GB2312" w:hAnsi="仿宋_GB2312" w:eastAsia="仿宋_GB2312" w:cs="仿宋_GB2312"/>
              </w:rPr>
            </w:pPr>
            <w:r>
              <w:rPr>
                <w:rFonts w:hint="eastAsia" w:ascii="仿宋_GB2312" w:hAnsi="仿宋_GB2312" w:eastAsia="仿宋_GB2312" w:cs="仿宋_GB2312"/>
              </w:rPr>
              <w:t>市防指其他成员单位听从指挥，按照职责分工，做好有关工作。</w:t>
            </w:r>
          </w:p>
          <w:p w14:paraId="402BD97F">
            <w:pPr>
              <w:pStyle w:val="12"/>
              <w:widowControl w:val="0"/>
              <w:kinsoku/>
              <w:adjustRightInd/>
              <w:snapToGrid/>
              <w:spacing w:line="300" w:lineRule="exact"/>
              <w:textAlignment w:val="auto"/>
              <w:rPr>
                <w:rFonts w:hint="eastAsia" w:ascii="仿宋_GB2312" w:hAnsi="仿宋_GB2312" w:eastAsia="仿宋_GB2312" w:cs="仿宋_GB2312"/>
              </w:rPr>
            </w:pPr>
            <w:r>
              <w:rPr>
                <w:rFonts w:hint="eastAsia" w:ascii="仿宋_GB2312" w:hAnsi="仿宋_GB2312" w:eastAsia="仿宋_GB2312" w:cs="仿宋_GB2312"/>
              </w:rPr>
              <w:t>要加强信息报送，遇有险情、灾情第一时间上报，坚决杜绝漏报、谎报、瞒报、迟报和处置不及时现象。</w:t>
            </w:r>
          </w:p>
        </w:tc>
        <w:tc>
          <w:tcPr>
            <w:tcW w:w="3908" w:type="dxa"/>
            <w:tcBorders>
              <w:top w:val="single" w:color="231F20" w:sz="4" w:space="0"/>
              <w:left w:val="single" w:color="231F20" w:sz="4" w:space="0"/>
              <w:right w:val="single" w:color="231F20" w:sz="4" w:space="0"/>
            </w:tcBorders>
            <w:vAlign w:val="center"/>
          </w:tcPr>
          <w:p w14:paraId="6D43C04D">
            <w:pPr>
              <w:pStyle w:val="12"/>
              <w:widowControl w:val="0"/>
              <w:kinsoku/>
              <w:adjustRightInd/>
              <w:snapToGrid/>
              <w:spacing w:line="300" w:lineRule="exact"/>
              <w:textAlignment w:val="auto"/>
              <w:rPr>
                <w:rFonts w:hint="eastAsia" w:ascii="仿宋_GB2312" w:hAnsi="仿宋_GB2312" w:eastAsia="仿宋_GB2312" w:cs="仿宋_GB2312"/>
              </w:rPr>
            </w:pPr>
            <w:r>
              <w:rPr>
                <w:rFonts w:hint="eastAsia" w:ascii="仿宋_GB2312" w:hAnsi="仿宋_GB2312" w:eastAsia="仿宋_GB2312" w:cs="仿宋_GB2312"/>
              </w:rPr>
              <w:t>市防指相关成员单位要做好</w:t>
            </w:r>
            <w:r>
              <w:rPr>
                <w:rFonts w:hint="eastAsia" w:ascii="Times New Roman" w:hAnsi="Times New Roman" w:eastAsia="仿宋_GB2312" w:cs="仿宋_GB2312"/>
              </w:rPr>
              <w:t>24</w:t>
            </w:r>
            <w:r>
              <w:rPr>
                <w:rFonts w:hint="eastAsia" w:ascii="仿宋_GB2312" w:hAnsi="仿宋_GB2312" w:eastAsia="仿宋_GB2312" w:cs="仿宋_GB2312"/>
              </w:rPr>
              <w:t>小时值班工作，按照指令完成任务。</w:t>
            </w:r>
          </w:p>
          <w:p w14:paraId="5B35465A">
            <w:pPr>
              <w:pStyle w:val="12"/>
              <w:widowControl w:val="0"/>
              <w:kinsoku/>
              <w:adjustRightInd/>
              <w:snapToGrid/>
              <w:spacing w:line="300" w:lineRule="exact"/>
              <w:textAlignment w:val="auto"/>
              <w:rPr>
                <w:rFonts w:hint="eastAsia" w:ascii="仿宋_GB2312" w:hAnsi="仿宋_GB2312" w:eastAsia="仿宋_GB2312" w:cs="仿宋_GB2312"/>
              </w:rPr>
            </w:pPr>
            <w:r>
              <w:rPr>
                <w:rFonts w:hint="eastAsia" w:ascii="仿宋_GB2312" w:hAnsi="仿宋_GB2312" w:eastAsia="仿宋_GB2312" w:cs="仿宋_GB2312"/>
              </w:rPr>
              <w:t>市应急管理局应及时调动应急抢险队伍，到达抢险一线；根据灾情向受灾地区调拨抢险救灾物资；增加值班人员，密切监视汛情和工情的发展变化；及时上报汛情及抗洪抢险情况；加强对直接管理行业的防汛抗旱监督检查工作。同时督促指导全市煤矿企业做好防洪工作，处于重点危险区域的露天煤矿企业必须停止生产，组织好煤矿人员转移避险。</w:t>
            </w:r>
          </w:p>
          <w:p w14:paraId="25D8D89E">
            <w:pPr>
              <w:pStyle w:val="12"/>
              <w:widowControl w:val="0"/>
              <w:kinsoku/>
              <w:adjustRightInd/>
              <w:snapToGrid/>
              <w:spacing w:line="300" w:lineRule="exact"/>
              <w:textAlignment w:val="auto"/>
              <w:rPr>
                <w:rFonts w:hint="eastAsia" w:ascii="仿宋_GB2312" w:hAnsi="仿宋_GB2312" w:eastAsia="仿宋_GB2312" w:cs="仿宋_GB2312"/>
              </w:rPr>
            </w:pPr>
            <w:r>
              <w:rPr>
                <w:rFonts w:hint="eastAsia" w:ascii="仿宋_GB2312" w:hAnsi="仿宋_GB2312" w:eastAsia="仿宋_GB2312" w:cs="仿宋_GB2312"/>
              </w:rPr>
              <w:t>市水务局负责人第一时间组织带领由工程技术人员组成的专家组赴一线向指挥部提供抢险方案等参谋意见。市、区两级水务部门要加派人员，加强工程、堤岸巡查，实时掌握汛情和工情的发展变化，做好汛情预测预报，按照相关预案做好工程调度。</w:t>
            </w:r>
          </w:p>
          <w:p w14:paraId="0AFAEAC9">
            <w:pPr>
              <w:pStyle w:val="12"/>
              <w:widowControl w:val="0"/>
              <w:kinsoku/>
              <w:adjustRightInd/>
              <w:snapToGrid/>
              <w:spacing w:line="300" w:lineRule="exact"/>
              <w:textAlignment w:val="auto"/>
              <w:rPr>
                <w:rFonts w:hint="eastAsia" w:ascii="仿宋_GB2312" w:hAnsi="仿宋_GB2312" w:eastAsia="仿宋_GB2312" w:cs="仿宋_GB2312"/>
              </w:rPr>
            </w:pPr>
            <w:r>
              <w:rPr>
                <w:rFonts w:hint="eastAsia" w:ascii="仿宋_GB2312" w:hAnsi="仿宋_GB2312" w:eastAsia="仿宋_GB2312" w:cs="仿宋_GB2312"/>
              </w:rPr>
              <w:t>市气象局做好实时气象服务，发生旱情时做好人工影响天气工作。</w:t>
            </w:r>
          </w:p>
          <w:p w14:paraId="570DDC23">
            <w:pPr>
              <w:pStyle w:val="12"/>
              <w:widowControl w:val="0"/>
              <w:kinsoku/>
              <w:adjustRightInd/>
              <w:snapToGrid/>
              <w:spacing w:line="300" w:lineRule="exact"/>
              <w:textAlignment w:val="auto"/>
              <w:rPr>
                <w:rFonts w:hint="eastAsia" w:ascii="仿宋_GB2312" w:hAnsi="仿宋_GB2312" w:eastAsia="仿宋_GB2312" w:cs="仿宋_GB2312"/>
              </w:rPr>
            </w:pPr>
            <w:r>
              <w:rPr>
                <w:rFonts w:hint="eastAsia" w:ascii="仿宋_GB2312" w:hAnsi="仿宋_GB2312" w:eastAsia="仿宋_GB2312" w:cs="仿宋_GB2312"/>
              </w:rPr>
              <w:t>市自然资源局督促、指导做好地质灾害隐患点的巡查以及重点地区地质灾害的监测预警和预报工作，如发生险情，组织地质灾害应急救援专家队伍赶赴现场。</w:t>
            </w:r>
          </w:p>
          <w:p w14:paraId="49C3109E">
            <w:pPr>
              <w:pStyle w:val="12"/>
              <w:widowControl w:val="0"/>
              <w:kinsoku/>
              <w:adjustRightInd/>
              <w:snapToGrid/>
              <w:spacing w:line="300" w:lineRule="exact"/>
              <w:textAlignment w:val="auto"/>
              <w:rPr>
                <w:rFonts w:hint="eastAsia" w:ascii="仿宋_GB2312" w:hAnsi="仿宋_GB2312" w:eastAsia="仿宋_GB2312" w:cs="仿宋_GB2312"/>
              </w:rPr>
            </w:pPr>
            <w:r>
              <w:rPr>
                <w:rFonts w:hint="eastAsia" w:ascii="仿宋_GB2312" w:hAnsi="仿宋_GB2312" w:eastAsia="仿宋_GB2312" w:cs="仿宋_GB2312"/>
              </w:rPr>
              <w:t>交通、铁路、民航部门为防汛抗旱物资提供运输保障，并按职责做好公路、铁路、桥梁的巡查防护和水毁抢修。</w:t>
            </w:r>
          </w:p>
          <w:p w14:paraId="5B61586F">
            <w:pPr>
              <w:pStyle w:val="12"/>
              <w:widowControl w:val="0"/>
              <w:kinsoku/>
              <w:adjustRightInd/>
              <w:snapToGrid/>
              <w:spacing w:line="300" w:lineRule="exact"/>
              <w:textAlignment w:val="auto"/>
              <w:rPr>
                <w:rFonts w:hint="eastAsia" w:ascii="仿宋_GB2312" w:hAnsi="仿宋_GB2312" w:eastAsia="仿宋_GB2312" w:cs="仿宋_GB2312"/>
              </w:rPr>
            </w:pPr>
            <w:r>
              <w:rPr>
                <w:rFonts w:hint="eastAsia" w:ascii="仿宋_GB2312" w:hAnsi="仿宋_GB2312" w:eastAsia="仿宋_GB2312" w:cs="仿宋_GB2312"/>
              </w:rPr>
              <w:t>市住房和城乡建设局做好城市排涝和城市供水工作。</w:t>
            </w:r>
          </w:p>
          <w:p w14:paraId="408A8EC3">
            <w:pPr>
              <w:pStyle w:val="12"/>
              <w:widowControl w:val="0"/>
              <w:kinsoku/>
              <w:adjustRightInd/>
              <w:snapToGrid/>
              <w:spacing w:line="300" w:lineRule="exact"/>
              <w:textAlignment w:val="auto"/>
              <w:rPr>
                <w:rFonts w:hint="eastAsia" w:ascii="仿宋_GB2312" w:hAnsi="仿宋_GB2312" w:eastAsia="仿宋_GB2312" w:cs="仿宋_GB2312"/>
              </w:rPr>
            </w:pPr>
            <w:r>
              <w:rPr>
                <w:rFonts w:hint="eastAsia" w:ascii="仿宋_GB2312" w:hAnsi="仿宋_GB2312" w:eastAsia="仿宋_GB2312" w:cs="仿宋_GB2312"/>
              </w:rPr>
              <w:t>市公用事业发展中心做好滨河区的排涝工作和甘德尔河涵闸的防汛工作。</w:t>
            </w:r>
          </w:p>
          <w:p w14:paraId="1E93B305">
            <w:pPr>
              <w:pStyle w:val="12"/>
              <w:widowControl w:val="0"/>
              <w:kinsoku/>
              <w:adjustRightInd/>
              <w:snapToGrid/>
              <w:spacing w:line="300" w:lineRule="exact"/>
              <w:textAlignment w:val="auto"/>
              <w:rPr>
                <w:rFonts w:hint="eastAsia" w:ascii="仿宋_GB2312" w:hAnsi="仿宋_GB2312" w:eastAsia="仿宋_GB2312" w:cs="仿宋_GB2312"/>
              </w:rPr>
            </w:pPr>
            <w:r>
              <w:rPr>
                <w:rFonts w:hint="eastAsia" w:ascii="仿宋_GB2312" w:hAnsi="仿宋_GB2312" w:eastAsia="仿宋_GB2312" w:cs="仿宋_GB2312"/>
              </w:rPr>
              <w:t>市委宣传部组织市融媒体中心及时向公众发送、发布警示信息。</w:t>
            </w:r>
          </w:p>
          <w:p w14:paraId="23479B0A">
            <w:pPr>
              <w:pStyle w:val="12"/>
              <w:widowControl w:val="0"/>
              <w:kinsoku/>
              <w:adjustRightInd/>
              <w:snapToGrid/>
              <w:spacing w:line="300" w:lineRule="exact"/>
              <w:textAlignment w:val="auto"/>
              <w:rPr>
                <w:rFonts w:hint="eastAsia" w:ascii="仿宋_GB2312" w:hAnsi="仿宋_GB2312" w:eastAsia="仿宋_GB2312" w:cs="仿宋_GB2312"/>
              </w:rPr>
            </w:pPr>
            <w:r>
              <w:rPr>
                <w:rFonts w:hint="eastAsia" w:ascii="仿宋_GB2312" w:hAnsi="仿宋_GB2312" w:eastAsia="仿宋_GB2312" w:cs="仿宋_GB2312"/>
              </w:rPr>
              <w:t>市公安局做好涉险路段交通管制和警戒工作。</w:t>
            </w:r>
          </w:p>
          <w:p w14:paraId="0D138868">
            <w:pPr>
              <w:pStyle w:val="12"/>
              <w:widowControl w:val="0"/>
              <w:kinsoku/>
              <w:adjustRightInd/>
              <w:snapToGrid/>
              <w:spacing w:line="300" w:lineRule="exact"/>
              <w:textAlignment w:val="auto"/>
              <w:rPr>
                <w:rFonts w:hint="eastAsia" w:ascii="仿宋_GB2312" w:hAnsi="仿宋_GB2312" w:eastAsia="仿宋_GB2312" w:cs="仿宋_GB2312"/>
              </w:rPr>
            </w:pPr>
            <w:r>
              <w:rPr>
                <w:rFonts w:hint="eastAsia" w:ascii="仿宋_GB2312" w:hAnsi="仿宋_GB2312" w:eastAsia="仿宋_GB2312" w:cs="仿宋_GB2312"/>
              </w:rPr>
              <w:t>市卫生健康委员会派出医疗队伍赴灾区开展医疗救治和防疫控制工作。</w:t>
            </w:r>
          </w:p>
          <w:p w14:paraId="4164B2FB">
            <w:pPr>
              <w:pStyle w:val="12"/>
              <w:widowControl w:val="0"/>
              <w:kinsoku/>
              <w:adjustRightInd/>
              <w:snapToGrid/>
              <w:spacing w:line="300" w:lineRule="exact"/>
              <w:textAlignment w:val="auto"/>
              <w:rPr>
                <w:rFonts w:hint="eastAsia" w:ascii="仿宋_GB2312" w:hAnsi="仿宋_GB2312" w:eastAsia="仿宋_GB2312" w:cs="仿宋_GB2312"/>
              </w:rPr>
            </w:pPr>
            <w:r>
              <w:rPr>
                <w:rFonts w:hint="eastAsia" w:ascii="仿宋_GB2312" w:hAnsi="仿宋_GB2312" w:eastAsia="仿宋_GB2312" w:cs="仿宋_GB2312"/>
              </w:rPr>
              <w:t>移动、联通、电信公司确保通讯畅通，必要时派出移动卫星通信指挥车。</w:t>
            </w:r>
          </w:p>
          <w:p w14:paraId="4F331FAC">
            <w:pPr>
              <w:pStyle w:val="12"/>
              <w:widowControl w:val="0"/>
              <w:kinsoku/>
              <w:adjustRightInd/>
              <w:snapToGrid/>
              <w:spacing w:line="300" w:lineRule="exact"/>
              <w:textAlignment w:val="auto"/>
              <w:rPr>
                <w:rFonts w:hint="eastAsia" w:ascii="仿宋_GB2312" w:hAnsi="仿宋_GB2312" w:eastAsia="仿宋_GB2312" w:cs="仿宋_GB2312"/>
              </w:rPr>
            </w:pPr>
            <w:r>
              <w:rPr>
                <w:rFonts w:hint="eastAsia" w:ascii="仿宋_GB2312" w:hAnsi="仿宋_GB2312" w:eastAsia="仿宋_GB2312" w:cs="仿宋_GB2312"/>
              </w:rPr>
              <w:t>指挥部其他成员单位听从统一指挥，按照职责分工，做好有关工作。</w:t>
            </w:r>
          </w:p>
        </w:tc>
        <w:tc>
          <w:tcPr>
            <w:tcW w:w="3171" w:type="dxa"/>
            <w:tcBorders>
              <w:top w:val="single" w:color="231F20" w:sz="4" w:space="0"/>
              <w:left w:val="single" w:color="231F20" w:sz="4" w:space="0"/>
              <w:right w:val="single" w:color="231F20" w:sz="4" w:space="0"/>
            </w:tcBorders>
            <w:vAlign w:val="center"/>
          </w:tcPr>
          <w:p w14:paraId="7752F72D">
            <w:pPr>
              <w:pStyle w:val="12"/>
              <w:widowControl w:val="0"/>
              <w:kinsoku/>
              <w:adjustRightInd/>
              <w:snapToGrid/>
              <w:spacing w:line="260" w:lineRule="exact"/>
              <w:textAlignment w:val="auto"/>
              <w:rPr>
                <w:rFonts w:hint="eastAsia" w:ascii="仿宋_GB2312" w:hAnsi="仿宋_GB2312" w:eastAsia="仿宋_GB2312" w:cs="仿宋_GB2312"/>
              </w:rPr>
            </w:pPr>
            <w:r>
              <w:rPr>
                <w:rFonts w:hint="eastAsia" w:ascii="仿宋_GB2312" w:hAnsi="仿宋_GB2312" w:eastAsia="仿宋_GB2312" w:cs="仿宋_GB2312"/>
              </w:rPr>
              <w:t>市防指相关成员单位要做好</w:t>
            </w:r>
            <w:r>
              <w:rPr>
                <w:rFonts w:hint="eastAsia" w:ascii="Times New Roman" w:hAnsi="Times New Roman" w:eastAsia="仿宋_GB2312" w:cs="仿宋_GB2312"/>
              </w:rPr>
              <w:t>24</w:t>
            </w:r>
            <w:r>
              <w:rPr>
                <w:rFonts w:hint="eastAsia" w:ascii="仿宋_GB2312" w:hAnsi="仿宋_GB2312" w:eastAsia="仿宋_GB2312" w:cs="仿宋_GB2312"/>
              </w:rPr>
              <w:t>小时值班工作，按照指令全力完成任务。</w:t>
            </w:r>
          </w:p>
          <w:p w14:paraId="44E1768E">
            <w:pPr>
              <w:pStyle w:val="12"/>
              <w:widowControl w:val="0"/>
              <w:kinsoku/>
              <w:adjustRightInd/>
              <w:snapToGrid/>
              <w:spacing w:line="260" w:lineRule="exact"/>
              <w:textAlignment w:val="auto"/>
              <w:rPr>
                <w:rFonts w:hint="eastAsia" w:ascii="仿宋_GB2312" w:hAnsi="仿宋_GB2312" w:eastAsia="仿宋_GB2312" w:cs="仿宋_GB2312"/>
              </w:rPr>
            </w:pPr>
            <w:r>
              <w:rPr>
                <w:rFonts w:hint="eastAsia" w:ascii="仿宋_GB2312" w:hAnsi="仿宋_GB2312" w:eastAsia="仿宋_GB2312" w:cs="仿宋_GB2312"/>
              </w:rPr>
              <w:t>市应急管理局及时调动全市应急抢险队伍，投入抢险一线；协调各受灾地区调拨抢险救灾物资；全员轮值值守，密切监视汛情和工情的发展变化；定期在相关媒体上报道汛情及抗洪抢险、抗旱情况，依法统一发布灾情。</w:t>
            </w:r>
          </w:p>
          <w:p w14:paraId="188DED25">
            <w:pPr>
              <w:pStyle w:val="12"/>
              <w:widowControl w:val="0"/>
              <w:kinsoku/>
              <w:adjustRightInd/>
              <w:snapToGrid/>
              <w:spacing w:line="260" w:lineRule="exact"/>
              <w:textAlignment w:val="auto"/>
              <w:rPr>
                <w:rFonts w:hint="eastAsia" w:ascii="仿宋_GB2312" w:hAnsi="仿宋_GB2312" w:eastAsia="仿宋_GB2312" w:cs="仿宋_GB2312"/>
              </w:rPr>
            </w:pPr>
            <w:r>
              <w:rPr>
                <w:rFonts w:hint="eastAsia" w:ascii="仿宋_GB2312" w:hAnsi="仿宋_GB2312" w:eastAsia="仿宋_GB2312" w:cs="仿宋_GB2312"/>
              </w:rPr>
              <w:t>市水务局负责人第一时间组织带领由工程技术人员组成的专家组赴一线向指挥部提供抢险方案等参谋意见。市、区两级水务部门要调动全体人员，加强工程、堤岸巡查，实时掌握汛情和工情的发展变化，做好汛情预测预报，按照相关预案做好工程调度。</w:t>
            </w:r>
          </w:p>
          <w:p w14:paraId="17CF69D4">
            <w:pPr>
              <w:pStyle w:val="12"/>
              <w:widowControl w:val="0"/>
              <w:kinsoku/>
              <w:adjustRightInd/>
              <w:snapToGrid/>
              <w:spacing w:line="260" w:lineRule="exact"/>
              <w:textAlignment w:val="auto"/>
              <w:rPr>
                <w:rFonts w:hint="eastAsia" w:ascii="仿宋_GB2312" w:hAnsi="仿宋_GB2312" w:eastAsia="仿宋_GB2312" w:cs="仿宋_GB2312"/>
              </w:rPr>
            </w:pPr>
            <w:r>
              <w:rPr>
                <w:rFonts w:hint="eastAsia" w:ascii="仿宋_GB2312" w:hAnsi="仿宋_GB2312" w:eastAsia="仿宋_GB2312" w:cs="仿宋_GB2312"/>
              </w:rPr>
              <w:t>气象部门做好实时气象服务。</w:t>
            </w:r>
          </w:p>
          <w:p w14:paraId="0B1BA523">
            <w:pPr>
              <w:pStyle w:val="12"/>
              <w:widowControl w:val="0"/>
              <w:kinsoku/>
              <w:adjustRightInd/>
              <w:snapToGrid/>
              <w:spacing w:line="260" w:lineRule="exact"/>
              <w:textAlignment w:val="auto"/>
              <w:rPr>
                <w:rFonts w:hint="eastAsia" w:ascii="仿宋_GB2312" w:hAnsi="仿宋_GB2312" w:eastAsia="仿宋_GB2312" w:cs="仿宋_GB2312"/>
              </w:rPr>
            </w:pPr>
            <w:r>
              <w:rPr>
                <w:rFonts w:hint="eastAsia" w:ascii="仿宋_GB2312" w:hAnsi="仿宋_GB2312" w:eastAsia="仿宋_GB2312" w:cs="仿宋_GB2312"/>
              </w:rPr>
              <w:t>交通、铁路、民航部门为防汛抗旱物资提供运输保障，并按职责做好公路、铁路、桥梁的巡查防护和水毁抢修，铁路部门及时采取停运、限速、封锁等措施，确保行车安全。</w:t>
            </w:r>
          </w:p>
          <w:p w14:paraId="3E9AEF41">
            <w:pPr>
              <w:pStyle w:val="12"/>
              <w:widowControl w:val="0"/>
              <w:kinsoku/>
              <w:adjustRightInd/>
              <w:snapToGrid/>
              <w:spacing w:line="260" w:lineRule="exact"/>
              <w:textAlignment w:val="auto"/>
              <w:rPr>
                <w:rFonts w:hint="eastAsia" w:ascii="仿宋_GB2312" w:hAnsi="仿宋_GB2312" w:eastAsia="仿宋_GB2312" w:cs="仿宋_GB2312"/>
              </w:rPr>
            </w:pPr>
            <w:r>
              <w:rPr>
                <w:rFonts w:hint="eastAsia" w:ascii="仿宋_GB2312" w:hAnsi="仿宋_GB2312" w:eastAsia="仿宋_GB2312" w:cs="仿宋_GB2312"/>
              </w:rPr>
              <w:t>市住房和城乡建设局、公用事业发展中心做好城市排涝或城市供水工作；市住房和城乡建设局、公用事业发展中心、交通运输局等部门紧盯隧道、涵洞、地下商城、地下停车场、立交桥、下沉式建筑等易积水的低洼区域，及时实施关闭措施，严防雨水倒灌引发事故灾害。</w:t>
            </w:r>
          </w:p>
          <w:p w14:paraId="58D96BA6">
            <w:pPr>
              <w:pStyle w:val="12"/>
              <w:widowControl w:val="0"/>
              <w:kinsoku/>
              <w:adjustRightInd/>
              <w:snapToGrid/>
              <w:spacing w:line="260" w:lineRule="exact"/>
              <w:textAlignment w:val="auto"/>
              <w:rPr>
                <w:rFonts w:hint="eastAsia" w:ascii="仿宋_GB2312" w:hAnsi="仿宋_GB2312" w:eastAsia="仿宋_GB2312" w:cs="仿宋_GB2312"/>
              </w:rPr>
            </w:pPr>
            <w:r>
              <w:rPr>
                <w:rFonts w:hint="eastAsia" w:ascii="仿宋_GB2312" w:hAnsi="仿宋_GB2312" w:eastAsia="仿宋_GB2312" w:cs="仿宋_GB2312"/>
              </w:rPr>
              <w:t>市文体旅游广电局暂停或者取消大型室外活动和群众集会，撤离危险区域人员，关闭旅游景区，终止有组织的户外体育类活动。</w:t>
            </w:r>
          </w:p>
          <w:p w14:paraId="2803B3BF">
            <w:pPr>
              <w:pStyle w:val="12"/>
              <w:widowControl w:val="0"/>
              <w:kinsoku/>
              <w:adjustRightInd/>
              <w:snapToGrid/>
              <w:spacing w:line="260" w:lineRule="exact"/>
              <w:textAlignment w:val="auto"/>
              <w:rPr>
                <w:rFonts w:hint="eastAsia" w:ascii="仿宋_GB2312" w:hAnsi="仿宋_GB2312" w:eastAsia="仿宋_GB2312" w:cs="仿宋_GB2312"/>
              </w:rPr>
            </w:pPr>
            <w:r>
              <w:rPr>
                <w:rFonts w:hint="eastAsia" w:ascii="仿宋_GB2312" w:hAnsi="仿宋_GB2312" w:eastAsia="仿宋_GB2312" w:cs="仿宋_GB2312"/>
              </w:rPr>
              <w:t>各区防指迅速组织地质灾害威胁区域、洪水威胁区域群众安全避险转移。</w:t>
            </w:r>
          </w:p>
          <w:p w14:paraId="31136434">
            <w:pPr>
              <w:pStyle w:val="12"/>
              <w:widowControl w:val="0"/>
              <w:kinsoku/>
              <w:adjustRightInd/>
              <w:snapToGrid/>
              <w:spacing w:line="260" w:lineRule="exact"/>
              <w:textAlignment w:val="auto"/>
              <w:rPr>
                <w:rFonts w:hint="eastAsia" w:ascii="仿宋_GB2312" w:hAnsi="仿宋_GB2312" w:eastAsia="仿宋_GB2312" w:cs="仿宋_GB2312"/>
              </w:rPr>
            </w:pPr>
            <w:r>
              <w:rPr>
                <w:rFonts w:hint="eastAsia" w:ascii="仿宋_GB2312" w:hAnsi="仿宋_GB2312" w:eastAsia="仿宋_GB2312" w:cs="仿宋_GB2312"/>
              </w:rPr>
              <w:t>市住房和城乡建设局、水务局等部门迅速排查在建工程项目安全隐患，及时组织在河谷、低洼处办公、住宿的人员撤离。</w:t>
            </w:r>
          </w:p>
          <w:p w14:paraId="4FF7F31C">
            <w:pPr>
              <w:pStyle w:val="12"/>
              <w:widowControl w:val="0"/>
              <w:kinsoku/>
              <w:adjustRightInd/>
              <w:snapToGrid/>
              <w:spacing w:line="260" w:lineRule="exact"/>
              <w:textAlignment w:val="auto"/>
              <w:rPr>
                <w:rFonts w:hint="eastAsia" w:ascii="仿宋_GB2312" w:hAnsi="仿宋_GB2312" w:eastAsia="仿宋_GB2312" w:cs="仿宋_GB2312"/>
              </w:rPr>
            </w:pPr>
            <w:r>
              <w:rPr>
                <w:rFonts w:hint="eastAsia" w:ascii="仿宋_GB2312" w:hAnsi="仿宋_GB2312" w:eastAsia="仿宋_GB2312" w:cs="仿宋_GB2312"/>
              </w:rPr>
              <w:t>市委宣传部组织市融媒体中心等单位及时更新、不间断播报暴雨、洪水的有关信息，根据市防指的指令滚动发布指挥部公告，指导协调有关部门做好信息发布和舆论引导工作，及时收集舆情信息，加强正面宣传报道和舆论引导，保持社会稳定。</w:t>
            </w:r>
          </w:p>
          <w:p w14:paraId="7636594D">
            <w:pPr>
              <w:pStyle w:val="12"/>
              <w:widowControl w:val="0"/>
              <w:kinsoku/>
              <w:adjustRightInd/>
              <w:snapToGrid/>
              <w:spacing w:line="260" w:lineRule="exact"/>
              <w:textAlignment w:val="auto"/>
              <w:rPr>
                <w:rFonts w:hint="eastAsia" w:ascii="仿宋_GB2312" w:hAnsi="仿宋_GB2312" w:eastAsia="仿宋_GB2312" w:cs="仿宋_GB2312"/>
              </w:rPr>
            </w:pPr>
            <w:r>
              <w:rPr>
                <w:rFonts w:hint="eastAsia" w:ascii="仿宋_GB2312" w:hAnsi="仿宋_GB2312" w:eastAsia="仿宋_GB2312" w:cs="仿宋_GB2312"/>
              </w:rPr>
              <w:t>市公安局维护好社会治安秩序，实施交通管制，协助组织群众转移或撤离。</w:t>
            </w:r>
          </w:p>
          <w:p w14:paraId="1E0CE0E7">
            <w:pPr>
              <w:pStyle w:val="12"/>
              <w:widowControl w:val="0"/>
              <w:kinsoku/>
              <w:adjustRightInd/>
              <w:snapToGrid/>
              <w:spacing w:line="260" w:lineRule="exact"/>
              <w:textAlignment w:val="auto"/>
              <w:rPr>
                <w:rFonts w:hint="eastAsia" w:ascii="仿宋_GB2312" w:hAnsi="仿宋_GB2312" w:eastAsia="仿宋_GB2312" w:cs="仿宋_GB2312"/>
              </w:rPr>
            </w:pPr>
            <w:r>
              <w:rPr>
                <w:rFonts w:hint="eastAsia" w:ascii="仿宋_GB2312" w:hAnsi="仿宋_GB2312" w:eastAsia="仿宋_GB2312" w:cs="仿宋_GB2312"/>
              </w:rPr>
              <w:t>市卫生健康委员会全力组织做好灾区医疗救护和防疫控制工作。</w:t>
            </w:r>
          </w:p>
          <w:p w14:paraId="6F1CB031">
            <w:pPr>
              <w:pStyle w:val="12"/>
              <w:widowControl w:val="0"/>
              <w:kinsoku/>
              <w:adjustRightInd/>
              <w:snapToGrid/>
              <w:spacing w:line="260" w:lineRule="exact"/>
              <w:textAlignment w:val="auto"/>
              <w:rPr>
                <w:rFonts w:hint="eastAsia" w:ascii="仿宋_GB2312" w:hAnsi="仿宋_GB2312" w:eastAsia="仿宋_GB2312" w:cs="仿宋_GB2312"/>
              </w:rPr>
            </w:pPr>
            <w:r>
              <w:rPr>
                <w:rFonts w:hint="eastAsia" w:ascii="仿宋_GB2312" w:hAnsi="仿宋_GB2312" w:eastAsia="仿宋_GB2312" w:cs="仿宋_GB2312"/>
              </w:rPr>
              <w:t>通信公司派出移动通信指挥车、消防部门派出应急消防指挥车到达抢险现场。</w:t>
            </w:r>
          </w:p>
          <w:p w14:paraId="3AA0436F">
            <w:pPr>
              <w:pStyle w:val="12"/>
              <w:widowControl w:val="0"/>
              <w:kinsoku/>
              <w:adjustRightInd/>
              <w:snapToGrid/>
              <w:spacing w:line="260" w:lineRule="exact"/>
              <w:textAlignment w:val="auto"/>
              <w:rPr>
                <w:rFonts w:hint="eastAsia" w:ascii="仿宋_GB2312" w:hAnsi="仿宋_GB2312" w:eastAsia="仿宋_GB2312" w:cs="仿宋_GB2312"/>
                <w:spacing w:val="15"/>
              </w:rPr>
            </w:pPr>
            <w:r>
              <w:rPr>
                <w:rFonts w:hint="eastAsia" w:ascii="仿宋_GB2312" w:hAnsi="仿宋_GB2312" w:eastAsia="仿宋_GB2312" w:cs="仿宋_GB2312"/>
              </w:rPr>
              <w:t>市防指其他成员单位听从统一指挥，按照职责分工，做好有关工作。</w:t>
            </w:r>
          </w:p>
        </w:tc>
        <w:tc>
          <w:tcPr>
            <w:tcW w:w="3158" w:type="dxa"/>
            <w:tcBorders>
              <w:top w:val="single" w:color="231F20" w:sz="4" w:space="0"/>
              <w:left w:val="single" w:color="231F20" w:sz="4" w:space="0"/>
            </w:tcBorders>
            <w:vAlign w:val="center"/>
          </w:tcPr>
          <w:p w14:paraId="3147C813">
            <w:pPr>
              <w:pStyle w:val="12"/>
              <w:widowControl w:val="0"/>
              <w:kinsoku/>
              <w:adjustRightInd/>
              <w:snapToGrid/>
              <w:spacing w:line="240" w:lineRule="exact"/>
              <w:textAlignment w:val="auto"/>
              <w:rPr>
                <w:rFonts w:hint="eastAsia" w:ascii="仿宋_GB2312" w:hAnsi="仿宋_GB2312" w:eastAsia="仿宋_GB2312" w:cs="仿宋_GB2312"/>
              </w:rPr>
            </w:pPr>
            <w:r>
              <w:rPr>
                <w:rFonts w:hint="eastAsia" w:ascii="仿宋_GB2312" w:hAnsi="仿宋_GB2312" w:eastAsia="仿宋_GB2312" w:cs="仿宋_GB2312"/>
              </w:rPr>
              <w:t>市防指相关成员单位要做好</w:t>
            </w:r>
            <w:r>
              <w:rPr>
                <w:rFonts w:hint="eastAsia" w:ascii="Times New Roman" w:hAnsi="Times New Roman" w:eastAsia="仿宋_GB2312" w:cs="仿宋_GB2312"/>
              </w:rPr>
              <w:t>24</w:t>
            </w:r>
            <w:r>
              <w:rPr>
                <w:rFonts w:hint="eastAsia" w:ascii="仿宋_GB2312" w:hAnsi="仿宋_GB2312" w:eastAsia="仿宋_GB2312" w:cs="仿宋_GB2312"/>
              </w:rPr>
              <w:t>小时值班工作，按照指令全力完成任务。</w:t>
            </w:r>
          </w:p>
          <w:p w14:paraId="29D35712">
            <w:pPr>
              <w:pStyle w:val="12"/>
              <w:widowControl w:val="0"/>
              <w:kinsoku/>
              <w:adjustRightInd/>
              <w:snapToGrid/>
              <w:spacing w:line="240" w:lineRule="exact"/>
              <w:textAlignment w:val="auto"/>
              <w:rPr>
                <w:rFonts w:hint="eastAsia" w:ascii="仿宋_GB2312" w:hAnsi="仿宋_GB2312" w:eastAsia="仿宋_GB2312" w:cs="仿宋_GB2312"/>
              </w:rPr>
            </w:pPr>
            <w:r>
              <w:rPr>
                <w:rFonts w:hint="eastAsia" w:ascii="仿宋_GB2312" w:hAnsi="仿宋_GB2312" w:eastAsia="仿宋_GB2312" w:cs="仿宋_GB2312"/>
              </w:rPr>
              <w:t>市应急管理局要及时调动全市各类应急抢险队伍，投入抢险一线；协调各方向受灾地区调拨抢险救灾物资；全员轮值值守，密切监视汛情和工情的发展变化；定期在相关媒体上报道汛情及抗洪抢险情况，依法统一发布灾情。</w:t>
            </w:r>
          </w:p>
          <w:p w14:paraId="2BC02309">
            <w:pPr>
              <w:pStyle w:val="12"/>
              <w:widowControl w:val="0"/>
              <w:kinsoku/>
              <w:adjustRightInd/>
              <w:snapToGrid/>
              <w:spacing w:line="240" w:lineRule="exact"/>
              <w:textAlignment w:val="auto"/>
              <w:rPr>
                <w:rFonts w:hint="eastAsia" w:ascii="仿宋_GB2312" w:hAnsi="仿宋_GB2312" w:eastAsia="仿宋_GB2312" w:cs="仿宋_GB2312"/>
              </w:rPr>
            </w:pPr>
            <w:r>
              <w:rPr>
                <w:rFonts w:hint="eastAsia" w:ascii="仿宋_GB2312" w:hAnsi="仿宋_GB2312" w:eastAsia="仿宋_GB2312" w:cs="仿宋_GB2312"/>
              </w:rPr>
              <w:t>市、区两级水务部门要调动全体人员，加强工程、堤岸巡查，实时掌握汛情和工情的发展变化，做好汛情预测预报，按照相关预案做好工程调度。</w:t>
            </w:r>
          </w:p>
          <w:p w14:paraId="050CCD6A">
            <w:pPr>
              <w:pStyle w:val="12"/>
              <w:widowControl w:val="0"/>
              <w:kinsoku/>
              <w:adjustRightInd/>
              <w:snapToGrid/>
              <w:spacing w:line="240" w:lineRule="exact"/>
              <w:textAlignment w:val="auto"/>
              <w:rPr>
                <w:rFonts w:hint="eastAsia" w:ascii="仿宋_GB2312" w:hAnsi="仿宋_GB2312" w:eastAsia="仿宋_GB2312" w:cs="仿宋_GB2312"/>
              </w:rPr>
            </w:pPr>
            <w:r>
              <w:rPr>
                <w:rFonts w:hint="eastAsia" w:ascii="仿宋_GB2312" w:hAnsi="仿宋_GB2312" w:eastAsia="仿宋_GB2312" w:cs="仿宋_GB2312"/>
              </w:rPr>
              <w:t>气象部门做好实时气象服务。</w:t>
            </w:r>
          </w:p>
          <w:p w14:paraId="57311760">
            <w:pPr>
              <w:pStyle w:val="12"/>
              <w:widowControl w:val="0"/>
              <w:kinsoku/>
              <w:adjustRightInd/>
              <w:snapToGrid/>
              <w:spacing w:line="240" w:lineRule="exact"/>
              <w:textAlignment w:val="auto"/>
              <w:rPr>
                <w:rFonts w:hint="eastAsia" w:ascii="仿宋_GB2312" w:hAnsi="仿宋_GB2312" w:eastAsia="仿宋_GB2312" w:cs="仿宋_GB2312"/>
              </w:rPr>
            </w:pPr>
            <w:r>
              <w:rPr>
                <w:rFonts w:hint="eastAsia" w:ascii="仿宋_GB2312" w:hAnsi="仿宋_GB2312" w:eastAsia="仿宋_GB2312" w:cs="仿宋_GB2312"/>
              </w:rPr>
              <w:t>交通、铁路、民航部门为防汛抗旱物资运输提供运输保障，并按职责做好公路、铁路、桥梁的巡查防护和水毁抢修，铁路部门及时采取停运、限速、封锁等措施，确保行车安全。</w:t>
            </w:r>
          </w:p>
          <w:p w14:paraId="115A9CBD">
            <w:pPr>
              <w:pStyle w:val="12"/>
              <w:widowControl w:val="0"/>
              <w:kinsoku/>
              <w:adjustRightInd/>
              <w:snapToGrid/>
              <w:spacing w:line="240" w:lineRule="exact"/>
              <w:textAlignment w:val="auto"/>
              <w:rPr>
                <w:rFonts w:hint="eastAsia" w:ascii="仿宋_GB2312" w:hAnsi="仿宋_GB2312" w:eastAsia="仿宋_GB2312" w:cs="仿宋_GB2312"/>
              </w:rPr>
            </w:pPr>
            <w:r>
              <w:rPr>
                <w:rFonts w:hint="eastAsia" w:ascii="仿宋_GB2312" w:hAnsi="仿宋_GB2312" w:eastAsia="仿宋_GB2312" w:cs="仿宋_GB2312"/>
              </w:rPr>
              <w:t>市住房和城乡建设局、公用事业发展中心做好城市排涝或城市供水工作；市住房和城乡建设局、公用事业发展中心、交通运输局等部门紧盯隧道、涵洞、地下商城、地下停车场、立交桥、下沉式建筑等易积水的低洼区域，及时实施关闭措施，严防雨水倒灌引发事故灾害。</w:t>
            </w:r>
          </w:p>
          <w:p w14:paraId="5C3BB07C">
            <w:pPr>
              <w:pStyle w:val="12"/>
              <w:widowControl w:val="0"/>
              <w:kinsoku/>
              <w:adjustRightInd/>
              <w:snapToGrid/>
              <w:spacing w:line="240" w:lineRule="exact"/>
              <w:textAlignment w:val="auto"/>
              <w:rPr>
                <w:rFonts w:hint="eastAsia" w:ascii="仿宋_GB2312" w:hAnsi="仿宋_GB2312" w:eastAsia="仿宋_GB2312" w:cs="仿宋_GB2312"/>
              </w:rPr>
            </w:pPr>
            <w:r>
              <w:rPr>
                <w:rFonts w:hint="eastAsia" w:ascii="仿宋_GB2312" w:hAnsi="仿宋_GB2312" w:eastAsia="仿宋_GB2312" w:cs="仿宋_GB2312"/>
              </w:rPr>
              <w:t>市文体旅游广电局暂停或者取消大型室外活动和群众集会，撤离危险区域人员，关闭旅游景区，终止有组织的户外体育类活动。</w:t>
            </w:r>
          </w:p>
          <w:p w14:paraId="78EE7D3B">
            <w:pPr>
              <w:pStyle w:val="12"/>
              <w:widowControl w:val="0"/>
              <w:kinsoku/>
              <w:adjustRightInd/>
              <w:snapToGrid/>
              <w:spacing w:line="240" w:lineRule="exact"/>
              <w:textAlignment w:val="auto"/>
              <w:rPr>
                <w:rFonts w:hint="eastAsia" w:ascii="仿宋_GB2312" w:hAnsi="仿宋_GB2312" w:eastAsia="仿宋_GB2312" w:cs="仿宋_GB2312"/>
              </w:rPr>
            </w:pPr>
            <w:r>
              <w:rPr>
                <w:rFonts w:hint="eastAsia" w:ascii="仿宋_GB2312" w:hAnsi="仿宋_GB2312" w:eastAsia="仿宋_GB2312" w:cs="仿宋_GB2312"/>
              </w:rPr>
              <w:t>各区防指迅速组织地质灾害威胁区域、洪水威胁区域群众安全避险转移。</w:t>
            </w:r>
          </w:p>
          <w:p w14:paraId="704727C2">
            <w:pPr>
              <w:pStyle w:val="12"/>
              <w:widowControl w:val="0"/>
              <w:kinsoku/>
              <w:adjustRightInd/>
              <w:snapToGrid/>
              <w:spacing w:line="240" w:lineRule="exact"/>
              <w:textAlignment w:val="auto"/>
              <w:rPr>
                <w:rFonts w:hint="eastAsia" w:ascii="仿宋_GB2312" w:hAnsi="仿宋_GB2312" w:eastAsia="仿宋_GB2312" w:cs="仿宋_GB2312"/>
              </w:rPr>
            </w:pPr>
            <w:r>
              <w:rPr>
                <w:rFonts w:hint="eastAsia" w:ascii="仿宋_GB2312" w:hAnsi="仿宋_GB2312" w:eastAsia="仿宋_GB2312" w:cs="仿宋_GB2312"/>
              </w:rPr>
              <w:t>市住房和城乡建设局、水务局等部门迅速排查在建工程项目安全隐患，及时组织在河谷、低洼处办公、住宿的人员撤离。</w:t>
            </w:r>
          </w:p>
          <w:p w14:paraId="74CD29E5">
            <w:pPr>
              <w:pStyle w:val="12"/>
              <w:widowControl w:val="0"/>
              <w:kinsoku/>
              <w:adjustRightInd/>
              <w:snapToGrid/>
              <w:spacing w:line="240" w:lineRule="exact"/>
              <w:textAlignment w:val="auto"/>
              <w:rPr>
                <w:rFonts w:hint="eastAsia" w:ascii="仿宋_GB2312" w:hAnsi="仿宋_GB2312" w:eastAsia="仿宋_GB2312" w:cs="仿宋_GB2312"/>
              </w:rPr>
            </w:pPr>
            <w:r>
              <w:rPr>
                <w:rFonts w:hint="eastAsia" w:ascii="仿宋_GB2312" w:hAnsi="仿宋_GB2312" w:eastAsia="仿宋_GB2312" w:cs="仿宋_GB2312"/>
              </w:rPr>
              <w:t>市委宣传部组织市融媒体中心及时更新、不间断播报暴雨、洪水的有关信息，根据市防指的指令滚动发布指挥部公告，指导协调有关部门做好信息发布和舆论引导工作，及时收集舆情信息，加强正面宣传报道和舆论引导，保持社会民心稳定。</w:t>
            </w:r>
          </w:p>
          <w:p w14:paraId="7DCD3019">
            <w:pPr>
              <w:pStyle w:val="12"/>
              <w:widowControl w:val="0"/>
              <w:kinsoku/>
              <w:adjustRightInd/>
              <w:snapToGrid/>
              <w:spacing w:line="240" w:lineRule="exact"/>
              <w:textAlignment w:val="auto"/>
              <w:rPr>
                <w:rFonts w:hint="eastAsia" w:ascii="仿宋_GB2312" w:hAnsi="仿宋_GB2312" w:eastAsia="仿宋_GB2312" w:cs="仿宋_GB2312"/>
              </w:rPr>
            </w:pPr>
            <w:r>
              <w:rPr>
                <w:rFonts w:hint="eastAsia" w:ascii="仿宋_GB2312" w:hAnsi="仿宋_GB2312" w:eastAsia="仿宋_GB2312" w:cs="仿宋_GB2312"/>
              </w:rPr>
              <w:t>市公安局维护好社会治安秩序，实施交通管制，协助组织群众转移或撤离。</w:t>
            </w:r>
          </w:p>
          <w:p w14:paraId="43BB1D4D">
            <w:pPr>
              <w:pStyle w:val="12"/>
              <w:widowControl w:val="0"/>
              <w:kinsoku/>
              <w:adjustRightInd/>
              <w:snapToGrid/>
              <w:spacing w:line="240" w:lineRule="exact"/>
              <w:textAlignment w:val="auto"/>
              <w:rPr>
                <w:rFonts w:hint="eastAsia" w:ascii="仿宋_GB2312" w:hAnsi="仿宋_GB2312" w:eastAsia="仿宋_GB2312" w:cs="仿宋_GB2312"/>
              </w:rPr>
            </w:pPr>
            <w:r>
              <w:rPr>
                <w:rFonts w:hint="eastAsia" w:ascii="仿宋_GB2312" w:hAnsi="仿宋_GB2312" w:eastAsia="仿宋_GB2312" w:cs="仿宋_GB2312"/>
              </w:rPr>
              <w:t>市卫生健康委员会全力组织做好灾区医疗救护和防疫控制工作。</w:t>
            </w:r>
          </w:p>
          <w:p w14:paraId="7C5FF44D">
            <w:pPr>
              <w:pStyle w:val="12"/>
              <w:widowControl w:val="0"/>
              <w:kinsoku/>
              <w:adjustRightInd/>
              <w:snapToGrid/>
              <w:spacing w:line="240" w:lineRule="exact"/>
              <w:textAlignment w:val="auto"/>
              <w:rPr>
                <w:rFonts w:hint="eastAsia" w:ascii="仿宋_GB2312" w:hAnsi="仿宋_GB2312" w:eastAsia="仿宋_GB2312" w:cs="仿宋_GB2312"/>
              </w:rPr>
            </w:pPr>
            <w:r>
              <w:rPr>
                <w:rFonts w:hint="eastAsia" w:ascii="仿宋_GB2312" w:hAnsi="仿宋_GB2312" w:eastAsia="仿宋_GB2312" w:cs="仿宋_GB2312"/>
              </w:rPr>
              <w:t>通信公司派出移动通信指挥车、消防部门派出应急消防指挥车到达抢险现场。</w:t>
            </w:r>
          </w:p>
          <w:p w14:paraId="082C2C4E">
            <w:pPr>
              <w:pStyle w:val="12"/>
              <w:widowControl w:val="0"/>
              <w:kinsoku/>
              <w:adjustRightInd/>
              <w:snapToGrid/>
              <w:spacing w:line="240" w:lineRule="exact"/>
              <w:textAlignment w:val="auto"/>
              <w:rPr>
                <w:rFonts w:hint="eastAsia" w:ascii="仿宋_GB2312" w:hAnsi="仿宋_GB2312" w:eastAsia="仿宋_GB2312" w:cs="仿宋_GB2312"/>
                <w:spacing w:val="15"/>
              </w:rPr>
            </w:pPr>
            <w:r>
              <w:rPr>
                <w:rFonts w:hint="eastAsia" w:ascii="仿宋_GB2312" w:hAnsi="仿宋_GB2312" w:eastAsia="仿宋_GB2312" w:cs="仿宋_GB2312"/>
              </w:rPr>
              <w:t>市防指其他成员单位听从统一指挥，按照职责分工，做好有关工作。</w:t>
            </w:r>
          </w:p>
        </w:tc>
      </w:tr>
    </w:tbl>
    <w:p w14:paraId="6E546FAE">
      <w:pPr>
        <w:spacing w:line="340" w:lineRule="exact"/>
        <w:jc w:val="both"/>
        <w:rPr>
          <w:rFonts w:hint="eastAsia" w:ascii="仿宋_GB2312" w:hAnsi="仿宋_GB2312" w:eastAsia="仿宋_GB2312" w:cs="仿宋_GB2312"/>
          <w:sz w:val="22"/>
          <w:szCs w:val="22"/>
          <w:lang w:eastAsia="zh-CN"/>
        </w:rPr>
        <w:sectPr>
          <w:footerReference r:id="rId3" w:type="default"/>
          <w:type w:val="continuous"/>
          <w:pgSz w:w="16838" w:h="11849" w:orient="landscape"/>
          <w:pgMar w:top="1531" w:right="1701" w:bottom="1531" w:left="1701" w:header="850" w:footer="1417" w:gutter="0"/>
          <w:cols w:space="720" w:num="1"/>
          <w:docGrid w:linePitch="1" w:charSpace="0"/>
        </w:sectPr>
      </w:pPr>
    </w:p>
    <w:p w14:paraId="384D4931">
      <w:pPr>
        <w:pStyle w:val="6"/>
        <w:spacing w:line="340" w:lineRule="exact"/>
        <w:jc w:val="both"/>
        <w:rPr>
          <w:rFonts w:hint="eastAsia" w:ascii="仿宋_GB2312" w:hAnsi="仿宋_GB2312" w:eastAsia="仿宋_GB2312" w:cs="仿宋_GB2312"/>
          <w:sz w:val="22"/>
          <w:szCs w:val="22"/>
          <w:lang w:eastAsia="zh-CN"/>
        </w:rPr>
        <w:sectPr>
          <w:footerReference r:id="rId4" w:type="default"/>
          <w:type w:val="continuous"/>
          <w:pgSz w:w="16838" w:h="11849" w:orient="landscape"/>
          <w:pgMar w:top="1701" w:right="1531" w:bottom="1701" w:left="1531" w:header="850" w:footer="1417" w:gutter="0"/>
          <w:cols w:space="720" w:num="1"/>
          <w:docGrid w:linePitch="1" w:charSpace="0"/>
        </w:sectPr>
      </w:pPr>
    </w:p>
    <w:tbl>
      <w:tblPr>
        <w:tblStyle w:val="7"/>
        <w:tblW w:w="15024" w:type="dxa"/>
        <w:jc w:val="center"/>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top w:w="0" w:type="dxa"/>
          <w:left w:w="0" w:type="dxa"/>
          <w:bottom w:w="0" w:type="dxa"/>
          <w:right w:w="0" w:type="dxa"/>
        </w:tblCellMar>
      </w:tblPr>
      <w:tblGrid>
        <w:gridCol w:w="1301"/>
        <w:gridCol w:w="3052"/>
        <w:gridCol w:w="3895"/>
        <w:gridCol w:w="3145"/>
        <w:gridCol w:w="3631"/>
      </w:tblGrid>
      <w:tr w14:paraId="0273AF45">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04" w:hRule="atLeast"/>
          <w:tblHeader/>
          <w:jc w:val="center"/>
        </w:trPr>
        <w:tc>
          <w:tcPr>
            <w:tcW w:w="1301" w:type="dxa"/>
            <w:tcBorders>
              <w:bottom w:val="single" w:color="231F20" w:sz="4" w:space="0"/>
              <w:right w:val="single" w:color="231F20" w:sz="4" w:space="0"/>
            </w:tcBorders>
          </w:tcPr>
          <w:p w14:paraId="07FDB4B2">
            <w:pPr>
              <w:pStyle w:val="12"/>
              <w:spacing w:line="500" w:lineRule="exact"/>
              <w:jc w:val="center"/>
              <w:rPr>
                <w:rFonts w:hint="eastAsia" w:ascii="黑体" w:hAnsi="黑体" w:eastAsia="黑体" w:cs="黑体"/>
              </w:rPr>
            </w:pPr>
            <w:r>
              <w:rPr>
                <w:rFonts w:hint="eastAsia" w:ascii="黑体" w:hAnsi="黑体" w:eastAsia="黑体" w:cs="黑体"/>
              </w:rPr>
              <w:t>判别对象</w:t>
            </w:r>
          </w:p>
        </w:tc>
        <w:tc>
          <w:tcPr>
            <w:tcW w:w="3052" w:type="dxa"/>
            <w:tcBorders>
              <w:left w:val="single" w:color="231F20" w:sz="4" w:space="0"/>
              <w:bottom w:val="single" w:color="231F20" w:sz="4" w:space="0"/>
              <w:right w:val="single" w:color="231F20" w:sz="4" w:space="0"/>
            </w:tcBorders>
          </w:tcPr>
          <w:p w14:paraId="2B09C69D">
            <w:pPr>
              <w:pStyle w:val="12"/>
              <w:spacing w:line="500" w:lineRule="exact"/>
              <w:jc w:val="center"/>
              <w:rPr>
                <w:rFonts w:hint="eastAsia" w:ascii="黑体" w:hAnsi="黑体" w:eastAsia="黑体" w:cs="黑体"/>
              </w:rPr>
            </w:pPr>
            <w:r>
              <w:rPr>
                <w:rFonts w:hint="eastAsia" w:ascii="黑体" w:hAnsi="黑体" w:eastAsia="黑体" w:cs="黑体"/>
              </w:rPr>
              <w:t>四级应急响应</w:t>
            </w:r>
          </w:p>
        </w:tc>
        <w:tc>
          <w:tcPr>
            <w:tcW w:w="3895" w:type="dxa"/>
            <w:tcBorders>
              <w:left w:val="single" w:color="231F20" w:sz="4" w:space="0"/>
              <w:bottom w:val="single" w:color="231F20" w:sz="4" w:space="0"/>
              <w:right w:val="single" w:color="231F20" w:sz="4" w:space="0"/>
            </w:tcBorders>
          </w:tcPr>
          <w:p w14:paraId="3115467C">
            <w:pPr>
              <w:pStyle w:val="12"/>
              <w:spacing w:line="500" w:lineRule="exact"/>
              <w:jc w:val="center"/>
              <w:rPr>
                <w:rFonts w:hint="eastAsia" w:ascii="黑体" w:hAnsi="黑体" w:eastAsia="黑体" w:cs="黑体"/>
              </w:rPr>
            </w:pPr>
            <w:r>
              <w:rPr>
                <w:rFonts w:hint="eastAsia" w:ascii="黑体" w:hAnsi="黑体" w:eastAsia="黑体" w:cs="黑体"/>
              </w:rPr>
              <w:t>三级应急响应</w:t>
            </w:r>
          </w:p>
        </w:tc>
        <w:tc>
          <w:tcPr>
            <w:tcW w:w="3145" w:type="dxa"/>
            <w:tcBorders>
              <w:left w:val="single" w:color="231F20" w:sz="4" w:space="0"/>
              <w:bottom w:val="single" w:color="231F20" w:sz="4" w:space="0"/>
              <w:right w:val="single" w:color="231F20" w:sz="4" w:space="0"/>
            </w:tcBorders>
          </w:tcPr>
          <w:p w14:paraId="183DC789">
            <w:pPr>
              <w:pStyle w:val="12"/>
              <w:spacing w:line="500" w:lineRule="exact"/>
              <w:jc w:val="center"/>
              <w:rPr>
                <w:rFonts w:hint="eastAsia" w:ascii="黑体" w:hAnsi="黑体" w:eastAsia="黑体" w:cs="黑体"/>
              </w:rPr>
            </w:pPr>
            <w:r>
              <w:rPr>
                <w:rFonts w:hint="eastAsia" w:ascii="黑体" w:hAnsi="黑体" w:eastAsia="黑体" w:cs="黑体"/>
              </w:rPr>
              <w:t>二级应急响应</w:t>
            </w:r>
          </w:p>
        </w:tc>
        <w:tc>
          <w:tcPr>
            <w:tcW w:w="3631" w:type="dxa"/>
            <w:tcBorders>
              <w:left w:val="single" w:color="231F20" w:sz="4" w:space="0"/>
              <w:bottom w:val="single" w:color="231F20" w:sz="4" w:space="0"/>
            </w:tcBorders>
          </w:tcPr>
          <w:p w14:paraId="151C86FF">
            <w:pPr>
              <w:pStyle w:val="12"/>
              <w:spacing w:line="500" w:lineRule="exact"/>
              <w:jc w:val="center"/>
              <w:rPr>
                <w:rFonts w:hint="eastAsia" w:ascii="黑体" w:hAnsi="黑体" w:eastAsia="黑体" w:cs="黑体"/>
              </w:rPr>
            </w:pPr>
            <w:r>
              <w:rPr>
                <w:rFonts w:hint="eastAsia" w:ascii="黑体" w:hAnsi="黑体" w:eastAsia="黑体" w:cs="黑体"/>
              </w:rPr>
              <w:t>一级应急响应</w:t>
            </w:r>
          </w:p>
        </w:tc>
      </w:tr>
      <w:tr w14:paraId="7C559133">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3335" w:hRule="atLeast"/>
          <w:jc w:val="center"/>
        </w:trPr>
        <w:tc>
          <w:tcPr>
            <w:tcW w:w="1301" w:type="dxa"/>
            <w:tcBorders>
              <w:top w:val="single" w:color="231F20" w:sz="4" w:space="0"/>
              <w:bottom w:val="single" w:color="231F20" w:sz="4" w:space="0"/>
              <w:right w:val="single" w:color="231F20" w:sz="4" w:space="0"/>
            </w:tcBorders>
            <w:vAlign w:val="center"/>
          </w:tcPr>
          <w:p w14:paraId="2B179A3F">
            <w:pPr>
              <w:pStyle w:val="12"/>
              <w:widowControl w:val="0"/>
              <w:kinsoku/>
              <w:adjustRightInd/>
              <w:snapToGrid/>
              <w:spacing w:line="3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rPr>
              <w:t>各区防指响应措施</w:t>
            </w:r>
          </w:p>
        </w:tc>
        <w:tc>
          <w:tcPr>
            <w:tcW w:w="3052" w:type="dxa"/>
            <w:tcBorders>
              <w:top w:val="single" w:color="231F20" w:sz="4" w:space="0"/>
              <w:left w:val="single" w:color="231F20" w:sz="4" w:space="0"/>
              <w:bottom w:val="single" w:color="231F20" w:sz="4" w:space="0"/>
              <w:right w:val="single" w:color="231F20" w:sz="4" w:space="0"/>
            </w:tcBorders>
            <w:vAlign w:val="center"/>
          </w:tcPr>
          <w:p w14:paraId="438534DC">
            <w:pPr>
              <w:pStyle w:val="12"/>
              <w:widowControl w:val="0"/>
              <w:kinsoku/>
              <w:adjustRightInd/>
              <w:snapToGrid/>
              <w:spacing w:line="300" w:lineRule="exact"/>
              <w:jc w:val="both"/>
              <w:textAlignment w:val="auto"/>
              <w:rPr>
                <w:rFonts w:hint="eastAsia" w:ascii="仿宋_GB2312" w:hAnsi="仿宋_GB2312" w:eastAsia="仿宋_GB2312" w:cs="仿宋_GB2312"/>
              </w:rPr>
            </w:pPr>
            <w:r>
              <w:rPr>
                <w:rFonts w:hint="eastAsia" w:ascii="仿宋_GB2312" w:hAnsi="仿宋_GB2312" w:eastAsia="仿宋_GB2312" w:cs="仿宋_GB2312"/>
              </w:rPr>
              <w:t>各区防指派出工作组到达一线，调动应急力量、应急物资、机械，全力组织防汛抢险救援；根据险情按照预案转移危险地区群众和财产，组织强化对水库 （水闸）和堤防的巡查和防守，加强汛情监视，做好信息报送；组织对辖区河道内阻水障碍物进行清除。</w:t>
            </w:r>
          </w:p>
        </w:tc>
        <w:tc>
          <w:tcPr>
            <w:tcW w:w="3895" w:type="dxa"/>
            <w:tcBorders>
              <w:top w:val="single" w:color="231F20" w:sz="4" w:space="0"/>
              <w:left w:val="single" w:color="231F20" w:sz="4" w:space="0"/>
              <w:bottom w:val="single" w:color="231F20" w:sz="4" w:space="0"/>
              <w:right w:val="single" w:color="231F20" w:sz="4" w:space="0"/>
            </w:tcBorders>
            <w:vAlign w:val="center"/>
          </w:tcPr>
          <w:p w14:paraId="6849C1D2">
            <w:pPr>
              <w:pStyle w:val="12"/>
              <w:widowControl w:val="0"/>
              <w:kinsoku/>
              <w:adjustRightInd/>
              <w:snapToGrid/>
              <w:spacing w:line="300" w:lineRule="exact"/>
              <w:jc w:val="both"/>
              <w:textAlignment w:val="auto"/>
              <w:rPr>
                <w:rFonts w:hint="eastAsia" w:ascii="仿宋_GB2312" w:hAnsi="仿宋_GB2312" w:eastAsia="仿宋_GB2312" w:cs="仿宋_GB2312"/>
              </w:rPr>
            </w:pPr>
            <w:r>
              <w:rPr>
                <w:rFonts w:hint="eastAsia" w:ascii="仿宋_GB2312" w:hAnsi="仿宋_GB2312" w:eastAsia="仿宋_GB2312" w:cs="仿宋_GB2312"/>
              </w:rPr>
              <w:t>各区防指责任人按照指挥部署，及时调动应急力量、应急物资、机械，全力组织防汛抗旱抢险救援；按照预案转移危险地区群众和财产，组织强化对水库（水闸）和堤防的巡查和防守，加强汛情监视，做好信息报送；发生决口事件，当地政府立即组织力量，采取工程措施堵复决口，及时控制险情；组织应对干旱和恢复供水。</w:t>
            </w:r>
          </w:p>
        </w:tc>
        <w:tc>
          <w:tcPr>
            <w:tcW w:w="3145" w:type="dxa"/>
            <w:tcBorders>
              <w:top w:val="single" w:color="231F20" w:sz="4" w:space="0"/>
              <w:left w:val="single" w:color="231F20" w:sz="4" w:space="0"/>
              <w:bottom w:val="single" w:color="231F20" w:sz="4" w:space="0"/>
              <w:right w:val="single" w:color="231F20" w:sz="4" w:space="0"/>
            </w:tcBorders>
            <w:vAlign w:val="center"/>
          </w:tcPr>
          <w:p w14:paraId="709D96B0">
            <w:pPr>
              <w:pStyle w:val="12"/>
              <w:widowControl w:val="0"/>
              <w:kinsoku/>
              <w:adjustRightInd/>
              <w:snapToGrid/>
              <w:spacing w:line="300" w:lineRule="exact"/>
              <w:jc w:val="both"/>
              <w:textAlignment w:val="auto"/>
              <w:rPr>
                <w:rFonts w:hint="eastAsia" w:ascii="仿宋_GB2312" w:hAnsi="仿宋_GB2312" w:eastAsia="仿宋_GB2312" w:cs="仿宋_GB2312"/>
              </w:rPr>
            </w:pPr>
            <w:r>
              <w:rPr>
                <w:rFonts w:hint="eastAsia" w:ascii="仿宋_GB2312" w:hAnsi="仿宋_GB2312" w:eastAsia="仿宋_GB2312" w:cs="仿宋_GB2312"/>
              </w:rPr>
              <w:t>各区防指责任人按照指挥部署，及时调动应急力量、应急物资、机械，全力组织防汛抗旱抢险救援；按照预案转移危险地区群众和财产，做好临时安置，组织对水库（水闸）和堤防严防死守，密切监视汛情，及时准确报送信息；遇重大险情，及时申请调动市级力量和物资，力争排除险情。</w:t>
            </w:r>
          </w:p>
        </w:tc>
        <w:tc>
          <w:tcPr>
            <w:tcW w:w="3631" w:type="dxa"/>
            <w:tcBorders>
              <w:top w:val="single" w:color="231F20" w:sz="4" w:space="0"/>
              <w:left w:val="single" w:color="231F20" w:sz="4" w:space="0"/>
              <w:bottom w:val="single" w:color="231F20" w:sz="4" w:space="0"/>
            </w:tcBorders>
            <w:vAlign w:val="center"/>
          </w:tcPr>
          <w:p w14:paraId="68AAD260">
            <w:pPr>
              <w:pStyle w:val="12"/>
              <w:widowControl w:val="0"/>
              <w:kinsoku/>
              <w:adjustRightInd/>
              <w:snapToGrid/>
              <w:spacing w:line="300" w:lineRule="exact"/>
              <w:jc w:val="both"/>
              <w:textAlignment w:val="auto"/>
              <w:rPr>
                <w:rFonts w:hint="eastAsia" w:ascii="仿宋_GB2312" w:hAnsi="仿宋_GB2312" w:eastAsia="仿宋_GB2312" w:cs="仿宋_GB2312"/>
              </w:rPr>
            </w:pPr>
            <w:r>
              <w:rPr>
                <w:rFonts w:hint="eastAsia" w:ascii="仿宋_GB2312" w:hAnsi="仿宋_GB2312" w:eastAsia="仿宋_GB2312" w:cs="仿宋_GB2312"/>
              </w:rPr>
              <w:t>各区防指责任人按照指挥部署，及时调动应急力量、应急物资、机械，按照指挥全力投入防汛抗旱抢险救援；按照预案转移危险地区群众和财产，做好临时安置，组织对水库（水闸）和堤防严防死守，密切监视汛情，及时准确报送信息。</w:t>
            </w:r>
          </w:p>
        </w:tc>
      </w:tr>
      <w:tr w14:paraId="6CE53E71">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490" w:hRule="atLeast"/>
          <w:jc w:val="center"/>
        </w:trPr>
        <w:tc>
          <w:tcPr>
            <w:tcW w:w="1301" w:type="dxa"/>
            <w:tcBorders>
              <w:top w:val="single" w:color="231F20" w:sz="4" w:space="0"/>
              <w:bottom w:val="single" w:color="231F20" w:sz="4" w:space="0"/>
              <w:right w:val="single" w:color="231F20" w:sz="4" w:space="0"/>
            </w:tcBorders>
            <w:vAlign w:val="center"/>
          </w:tcPr>
          <w:p w14:paraId="79B05A0B">
            <w:pPr>
              <w:pStyle w:val="12"/>
              <w:widowControl w:val="0"/>
              <w:kinsoku/>
              <w:adjustRightInd/>
              <w:snapToGrid/>
              <w:spacing w:line="3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rPr>
              <w:t>资金、物资</w:t>
            </w:r>
          </w:p>
        </w:tc>
        <w:tc>
          <w:tcPr>
            <w:tcW w:w="3052" w:type="dxa"/>
            <w:tcBorders>
              <w:top w:val="single" w:color="231F20" w:sz="4" w:space="0"/>
              <w:left w:val="single" w:color="231F20" w:sz="4" w:space="0"/>
              <w:bottom w:val="single" w:color="231F20" w:sz="4" w:space="0"/>
              <w:right w:val="single" w:color="231F20" w:sz="4" w:space="0"/>
            </w:tcBorders>
            <w:vAlign w:val="center"/>
          </w:tcPr>
          <w:p w14:paraId="7D7B5666">
            <w:pPr>
              <w:pStyle w:val="12"/>
              <w:widowControl w:val="0"/>
              <w:kinsoku/>
              <w:adjustRightInd/>
              <w:snapToGrid/>
              <w:spacing w:line="300" w:lineRule="exact"/>
              <w:jc w:val="both"/>
              <w:textAlignment w:val="auto"/>
              <w:rPr>
                <w:rFonts w:hint="eastAsia" w:ascii="仿宋_GB2312" w:hAnsi="仿宋_GB2312" w:eastAsia="仿宋_GB2312" w:cs="仿宋_GB2312"/>
              </w:rPr>
            </w:pPr>
            <w:r>
              <w:rPr>
                <w:rFonts w:hint="eastAsia" w:ascii="仿宋_GB2312" w:hAnsi="仿宋_GB2312" w:eastAsia="仿宋_GB2312" w:cs="仿宋_GB2312"/>
              </w:rPr>
              <w:t>根据防洪抢险救灾需要和地方请求，市应急管理局视情况向灾区调拨防汛抢险救灾物资；市财政局视情况下拨自然灾害救灾资金，积极向自治区申请自然灾害救灾资金和各类资金支持。各抢险物资库</w:t>
            </w:r>
            <w:r>
              <w:rPr>
                <w:rFonts w:hint="eastAsia" w:ascii="Times New Roman" w:hAnsi="Times New Roman" w:eastAsia="仿宋_GB2312" w:cs="仿宋_GB2312"/>
              </w:rPr>
              <w:t>24</w:t>
            </w:r>
            <w:r>
              <w:rPr>
                <w:rFonts w:hint="eastAsia" w:ascii="仿宋_GB2312" w:hAnsi="仿宋_GB2312" w:eastAsia="仿宋_GB2312" w:cs="仿宋_GB2312"/>
              </w:rPr>
              <w:t>小时待命，抢险设施设备（如冲锋舟、挖掘机、装载机、吊车、自卸车等）必须检修就绪。</w:t>
            </w:r>
          </w:p>
        </w:tc>
        <w:tc>
          <w:tcPr>
            <w:tcW w:w="3895" w:type="dxa"/>
            <w:tcBorders>
              <w:top w:val="single" w:color="231F20" w:sz="4" w:space="0"/>
              <w:left w:val="single" w:color="231F20" w:sz="4" w:space="0"/>
              <w:bottom w:val="single" w:color="231F20" w:sz="4" w:space="0"/>
              <w:right w:val="single" w:color="231F20" w:sz="4" w:space="0"/>
            </w:tcBorders>
            <w:vAlign w:val="center"/>
          </w:tcPr>
          <w:p w14:paraId="7FAE7160">
            <w:pPr>
              <w:pStyle w:val="12"/>
              <w:widowControl w:val="0"/>
              <w:kinsoku/>
              <w:adjustRightInd/>
              <w:snapToGrid/>
              <w:spacing w:line="300" w:lineRule="exact"/>
              <w:jc w:val="both"/>
              <w:textAlignment w:val="auto"/>
              <w:rPr>
                <w:rFonts w:hint="eastAsia" w:ascii="仿宋_GB2312" w:hAnsi="仿宋_GB2312" w:eastAsia="仿宋_GB2312" w:cs="仿宋_GB2312"/>
              </w:rPr>
            </w:pPr>
            <w:r>
              <w:rPr>
                <w:rFonts w:hint="eastAsia" w:ascii="仿宋_GB2312" w:hAnsi="仿宋_GB2312" w:eastAsia="仿宋_GB2312" w:cs="仿宋_GB2312"/>
              </w:rPr>
              <w:t>根据防洪抢险救灾需要和地方请求，市应急管理局视情况向灾区调拨防汛抢险救灾物资；市财政局视情况下拨自然灾害救灾资金，积极向自治区申请自然灾害救灾资金和各类资金支持。各抢险物资库</w:t>
            </w:r>
            <w:r>
              <w:rPr>
                <w:rFonts w:hint="eastAsia" w:ascii="Times New Roman" w:hAnsi="Times New Roman" w:eastAsia="仿宋_GB2312" w:cs="仿宋_GB2312"/>
              </w:rPr>
              <w:t>24</w:t>
            </w:r>
            <w:r>
              <w:rPr>
                <w:rFonts w:hint="eastAsia" w:ascii="仿宋_GB2312" w:hAnsi="仿宋_GB2312" w:eastAsia="仿宋_GB2312" w:cs="仿宋_GB2312"/>
              </w:rPr>
              <w:t>小时待命，按要求迅速调运抢险物资设备。</w:t>
            </w:r>
          </w:p>
        </w:tc>
        <w:tc>
          <w:tcPr>
            <w:tcW w:w="3145" w:type="dxa"/>
            <w:tcBorders>
              <w:top w:val="single" w:color="231F20" w:sz="4" w:space="0"/>
              <w:left w:val="single" w:color="231F20" w:sz="4" w:space="0"/>
              <w:bottom w:val="single" w:color="231F20" w:sz="4" w:space="0"/>
              <w:right w:val="single" w:color="231F20" w:sz="4" w:space="0"/>
            </w:tcBorders>
            <w:vAlign w:val="center"/>
          </w:tcPr>
          <w:p w14:paraId="6240667C">
            <w:pPr>
              <w:pStyle w:val="12"/>
              <w:widowControl w:val="0"/>
              <w:kinsoku/>
              <w:adjustRightInd/>
              <w:snapToGrid/>
              <w:spacing w:line="300" w:lineRule="exact"/>
              <w:jc w:val="both"/>
              <w:textAlignment w:val="auto"/>
              <w:rPr>
                <w:rFonts w:hint="eastAsia" w:ascii="仿宋_GB2312" w:hAnsi="仿宋_GB2312" w:eastAsia="仿宋_GB2312" w:cs="仿宋_GB2312"/>
              </w:rPr>
            </w:pPr>
            <w:r>
              <w:rPr>
                <w:rFonts w:hint="eastAsia" w:ascii="仿宋_GB2312" w:hAnsi="仿宋_GB2312" w:eastAsia="仿宋_GB2312" w:cs="仿宋_GB2312"/>
              </w:rPr>
              <w:t>根据防洪抢险救灾需要和地方请求，市应急管理局视情况向灾区调拨防汛抢险救灾物资；市财政局视情况下拨自然灾害救灾资金，积极向自治区申请自然灾害救灾资金和各类资金支持，尽快下拨相关资金；根据防洪抢险救灾情况，市应急管理局向自治区应急厅请调物资支持。各抢险物资库</w:t>
            </w:r>
            <w:r>
              <w:rPr>
                <w:rFonts w:hint="eastAsia" w:ascii="Times New Roman" w:hAnsi="Times New Roman" w:eastAsia="仿宋_GB2312" w:cs="仿宋_GB2312"/>
              </w:rPr>
              <w:t>24</w:t>
            </w:r>
            <w:r>
              <w:rPr>
                <w:rFonts w:hint="eastAsia" w:ascii="仿宋_GB2312" w:hAnsi="仿宋_GB2312" w:eastAsia="仿宋_GB2312" w:cs="仿宋_GB2312"/>
              </w:rPr>
              <w:t>小时待命，按要求迅速调运抢险物资设备。</w:t>
            </w:r>
          </w:p>
        </w:tc>
        <w:tc>
          <w:tcPr>
            <w:tcW w:w="3631" w:type="dxa"/>
            <w:tcBorders>
              <w:top w:val="single" w:color="231F20" w:sz="4" w:space="0"/>
              <w:left w:val="single" w:color="231F20" w:sz="4" w:space="0"/>
              <w:bottom w:val="single" w:color="231F20" w:sz="4" w:space="0"/>
            </w:tcBorders>
            <w:vAlign w:val="center"/>
          </w:tcPr>
          <w:p w14:paraId="5BA89191">
            <w:pPr>
              <w:pStyle w:val="12"/>
              <w:widowControl w:val="0"/>
              <w:kinsoku/>
              <w:adjustRightInd/>
              <w:snapToGrid/>
              <w:spacing w:line="300" w:lineRule="exact"/>
              <w:jc w:val="both"/>
              <w:textAlignment w:val="auto"/>
              <w:rPr>
                <w:rFonts w:hint="eastAsia" w:ascii="仿宋_GB2312" w:hAnsi="仿宋_GB2312" w:eastAsia="仿宋_GB2312" w:cs="仿宋_GB2312"/>
              </w:rPr>
            </w:pPr>
            <w:r>
              <w:rPr>
                <w:rFonts w:hint="eastAsia" w:ascii="仿宋_GB2312" w:hAnsi="仿宋_GB2312" w:eastAsia="仿宋_GB2312" w:cs="仿宋_GB2312"/>
              </w:rPr>
              <w:t>根据防洪抢险救灾需要和地方请求，市应急管理局视情况向灾区调拨防汛抢险救灾物资；市财政局视情况下拨自然灾害救灾资金，积极向自治区申请自然灾害救灾资金和各类资金支持，尽快下拨相关资金；根据防洪抢险救灾情况，市应急管理局向自治区应急厅请调物资支持。各抢险物资库</w:t>
            </w:r>
            <w:r>
              <w:rPr>
                <w:rFonts w:hint="eastAsia" w:ascii="Times New Roman" w:hAnsi="Times New Roman" w:eastAsia="仿宋_GB2312" w:cs="仿宋_GB2312"/>
              </w:rPr>
              <w:t>24</w:t>
            </w:r>
            <w:r>
              <w:rPr>
                <w:rFonts w:hint="eastAsia" w:ascii="仿宋_GB2312" w:hAnsi="仿宋_GB2312" w:eastAsia="仿宋_GB2312" w:cs="仿宋_GB2312"/>
              </w:rPr>
              <w:t>小时待命，按要求迅速调运抢险物资设备。</w:t>
            </w:r>
          </w:p>
        </w:tc>
      </w:tr>
      <w:tr w14:paraId="1D53BF53">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808" w:hRule="atLeast"/>
          <w:jc w:val="center"/>
        </w:trPr>
        <w:tc>
          <w:tcPr>
            <w:tcW w:w="1301" w:type="dxa"/>
            <w:tcBorders>
              <w:top w:val="single" w:color="231F20" w:sz="4" w:space="0"/>
              <w:bottom w:val="single" w:color="231F20" w:sz="4" w:space="0"/>
              <w:right w:val="single" w:color="231F20" w:sz="4" w:space="0"/>
            </w:tcBorders>
            <w:vAlign w:val="center"/>
          </w:tcPr>
          <w:p w14:paraId="31995BEE">
            <w:pPr>
              <w:pStyle w:val="12"/>
              <w:widowControl w:val="0"/>
              <w:kinsoku/>
              <w:adjustRightInd/>
              <w:snapToGrid/>
              <w:spacing w:line="3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rPr>
              <w:t>队伍</w:t>
            </w:r>
          </w:p>
        </w:tc>
        <w:tc>
          <w:tcPr>
            <w:tcW w:w="3052" w:type="dxa"/>
            <w:tcBorders>
              <w:top w:val="single" w:color="231F20" w:sz="4" w:space="0"/>
              <w:left w:val="single" w:color="231F20" w:sz="4" w:space="0"/>
              <w:bottom w:val="single" w:color="231F20" w:sz="4" w:space="0"/>
              <w:right w:val="single" w:color="231F20" w:sz="4" w:space="0"/>
            </w:tcBorders>
            <w:vAlign w:val="center"/>
          </w:tcPr>
          <w:p w14:paraId="63687C12">
            <w:pPr>
              <w:pStyle w:val="12"/>
              <w:widowControl w:val="0"/>
              <w:kinsoku/>
              <w:adjustRightInd/>
              <w:snapToGrid/>
              <w:spacing w:line="300" w:lineRule="exact"/>
              <w:jc w:val="both"/>
              <w:textAlignment w:val="auto"/>
              <w:rPr>
                <w:rFonts w:hint="eastAsia" w:ascii="仿宋_GB2312" w:hAnsi="仿宋_GB2312" w:eastAsia="仿宋_GB2312" w:cs="仿宋_GB2312"/>
              </w:rPr>
            </w:pPr>
            <w:r>
              <w:rPr>
                <w:rFonts w:hint="eastAsia" w:ascii="仿宋_GB2312" w:hAnsi="仿宋_GB2312" w:eastAsia="仿宋_GB2312" w:cs="仿宋_GB2312"/>
              </w:rPr>
              <w:t>全市武警部队、民兵、综合性应急救援队伍投入抗洪抢险救援或做好投入准备。</w:t>
            </w:r>
          </w:p>
        </w:tc>
        <w:tc>
          <w:tcPr>
            <w:tcW w:w="3895" w:type="dxa"/>
            <w:tcBorders>
              <w:top w:val="single" w:color="231F20" w:sz="4" w:space="0"/>
              <w:left w:val="single" w:color="231F20" w:sz="4" w:space="0"/>
              <w:bottom w:val="single" w:color="231F20" w:sz="4" w:space="0"/>
              <w:right w:val="single" w:color="231F20" w:sz="4" w:space="0"/>
            </w:tcBorders>
            <w:vAlign w:val="center"/>
          </w:tcPr>
          <w:p w14:paraId="3A6CAABC">
            <w:pPr>
              <w:pStyle w:val="12"/>
              <w:widowControl w:val="0"/>
              <w:kinsoku/>
              <w:adjustRightInd/>
              <w:snapToGrid/>
              <w:spacing w:line="300" w:lineRule="exact"/>
              <w:jc w:val="both"/>
              <w:textAlignment w:val="auto"/>
              <w:rPr>
                <w:rFonts w:hint="eastAsia" w:ascii="仿宋_GB2312" w:hAnsi="仿宋_GB2312" w:eastAsia="仿宋_GB2312" w:cs="仿宋_GB2312"/>
              </w:rPr>
            </w:pPr>
            <w:r>
              <w:rPr>
                <w:rFonts w:hint="eastAsia" w:ascii="仿宋_GB2312" w:hAnsi="仿宋_GB2312" w:eastAsia="仿宋_GB2312" w:cs="仿宋_GB2312"/>
              </w:rPr>
              <w:t>全市武警部队、民兵、综合性救援队伍投入抗洪抢险救灾。</w:t>
            </w:r>
          </w:p>
        </w:tc>
        <w:tc>
          <w:tcPr>
            <w:tcW w:w="3145" w:type="dxa"/>
            <w:tcBorders>
              <w:top w:val="single" w:color="231F20" w:sz="4" w:space="0"/>
              <w:left w:val="single" w:color="231F20" w:sz="4" w:space="0"/>
              <w:bottom w:val="single" w:color="231F20" w:sz="4" w:space="0"/>
              <w:right w:val="single" w:color="231F20" w:sz="4" w:space="0"/>
            </w:tcBorders>
            <w:vAlign w:val="center"/>
          </w:tcPr>
          <w:p w14:paraId="75DED339">
            <w:pPr>
              <w:pStyle w:val="12"/>
              <w:widowControl w:val="0"/>
              <w:kinsoku/>
              <w:adjustRightInd/>
              <w:snapToGrid/>
              <w:spacing w:line="300" w:lineRule="exact"/>
              <w:jc w:val="both"/>
              <w:textAlignment w:val="auto"/>
              <w:rPr>
                <w:rFonts w:hint="eastAsia" w:ascii="仿宋_GB2312" w:hAnsi="仿宋_GB2312" w:eastAsia="仿宋_GB2312" w:cs="仿宋_GB2312"/>
              </w:rPr>
            </w:pPr>
            <w:r>
              <w:rPr>
                <w:rFonts w:hint="eastAsia" w:ascii="仿宋_GB2312" w:hAnsi="仿宋_GB2312" w:eastAsia="仿宋_GB2312" w:cs="仿宋_GB2312"/>
              </w:rPr>
              <w:t>全市武警部队、民兵、综合性救援队伍投入抗洪抢险救灾。</w:t>
            </w:r>
          </w:p>
        </w:tc>
        <w:tc>
          <w:tcPr>
            <w:tcW w:w="3631" w:type="dxa"/>
            <w:tcBorders>
              <w:top w:val="single" w:color="231F20" w:sz="4" w:space="0"/>
              <w:left w:val="single" w:color="231F20" w:sz="4" w:space="0"/>
              <w:bottom w:val="single" w:color="231F20" w:sz="4" w:space="0"/>
            </w:tcBorders>
            <w:vAlign w:val="center"/>
          </w:tcPr>
          <w:p w14:paraId="005A2540">
            <w:pPr>
              <w:pStyle w:val="12"/>
              <w:widowControl w:val="0"/>
              <w:kinsoku/>
              <w:adjustRightInd/>
              <w:snapToGrid/>
              <w:spacing w:line="300" w:lineRule="exact"/>
              <w:jc w:val="both"/>
              <w:textAlignment w:val="auto"/>
              <w:rPr>
                <w:rFonts w:hint="eastAsia" w:ascii="仿宋_GB2312" w:hAnsi="仿宋_GB2312" w:eastAsia="仿宋_GB2312" w:cs="仿宋_GB2312"/>
              </w:rPr>
            </w:pPr>
            <w:r>
              <w:rPr>
                <w:rFonts w:hint="eastAsia" w:ascii="仿宋_GB2312" w:hAnsi="仿宋_GB2312" w:eastAsia="仿宋_GB2312" w:cs="仿宋_GB2312"/>
              </w:rPr>
              <w:t>全市武警部队、民兵、综合性救援队伍投入抗洪抢险救灾。</w:t>
            </w:r>
          </w:p>
        </w:tc>
      </w:tr>
      <w:tr w14:paraId="5DAF0BD2">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121" w:hRule="atLeast"/>
          <w:jc w:val="center"/>
        </w:trPr>
        <w:tc>
          <w:tcPr>
            <w:tcW w:w="1301" w:type="dxa"/>
            <w:tcBorders>
              <w:top w:val="single" w:color="231F20" w:sz="4" w:space="0"/>
              <w:bottom w:val="single" w:color="231F20" w:sz="4" w:space="0"/>
              <w:right w:val="single" w:color="231F20" w:sz="4" w:space="0"/>
            </w:tcBorders>
            <w:vAlign w:val="center"/>
          </w:tcPr>
          <w:p w14:paraId="30DF9A0A">
            <w:pPr>
              <w:pStyle w:val="12"/>
              <w:widowControl w:val="0"/>
              <w:kinsoku/>
              <w:adjustRightInd/>
              <w:snapToGrid/>
              <w:spacing w:line="3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rPr>
              <w:t>响应终止</w:t>
            </w:r>
          </w:p>
        </w:tc>
        <w:tc>
          <w:tcPr>
            <w:tcW w:w="3052" w:type="dxa"/>
            <w:tcBorders>
              <w:top w:val="single" w:color="231F20" w:sz="4" w:space="0"/>
              <w:left w:val="single" w:color="231F20" w:sz="4" w:space="0"/>
              <w:bottom w:val="single" w:color="231F20" w:sz="4" w:space="0"/>
              <w:right w:val="single" w:color="231F20" w:sz="4" w:space="0"/>
            </w:tcBorders>
            <w:vAlign w:val="center"/>
          </w:tcPr>
          <w:p w14:paraId="0D252D0E">
            <w:pPr>
              <w:pStyle w:val="12"/>
              <w:widowControl w:val="0"/>
              <w:kinsoku/>
              <w:adjustRightInd/>
              <w:snapToGrid/>
              <w:spacing w:line="300" w:lineRule="exact"/>
              <w:jc w:val="both"/>
              <w:textAlignment w:val="auto"/>
              <w:rPr>
                <w:rFonts w:hint="eastAsia" w:ascii="仿宋_GB2312" w:hAnsi="仿宋_GB2312" w:eastAsia="仿宋_GB2312" w:cs="仿宋_GB2312"/>
              </w:rPr>
            </w:pPr>
            <w:r>
              <w:rPr>
                <w:rFonts w:hint="eastAsia" w:ascii="仿宋_GB2312" w:hAnsi="仿宋_GB2312" w:eastAsia="仿宋_GB2312" w:cs="仿宋_GB2312"/>
              </w:rPr>
              <w:t>视汛情、险情和灾情变化，由市防汛办适时提出终止四级应急响应的建议，报防汛办副主任同意后由市防汛办宣布结束四级应急响应。</w:t>
            </w:r>
          </w:p>
        </w:tc>
        <w:tc>
          <w:tcPr>
            <w:tcW w:w="3895" w:type="dxa"/>
            <w:tcBorders>
              <w:top w:val="single" w:color="231F20" w:sz="4" w:space="0"/>
              <w:left w:val="single" w:color="231F20" w:sz="4" w:space="0"/>
              <w:bottom w:val="single" w:color="231F20" w:sz="4" w:space="0"/>
              <w:right w:val="single" w:color="231F20" w:sz="4" w:space="0"/>
            </w:tcBorders>
            <w:vAlign w:val="center"/>
          </w:tcPr>
          <w:p w14:paraId="663E2722">
            <w:pPr>
              <w:pStyle w:val="12"/>
              <w:widowControl w:val="0"/>
              <w:kinsoku/>
              <w:adjustRightInd/>
              <w:snapToGrid/>
              <w:spacing w:line="300" w:lineRule="exact"/>
              <w:jc w:val="both"/>
              <w:textAlignment w:val="auto"/>
              <w:rPr>
                <w:rFonts w:hint="eastAsia" w:ascii="仿宋_GB2312" w:hAnsi="仿宋_GB2312" w:eastAsia="仿宋_GB2312" w:cs="仿宋_GB2312"/>
              </w:rPr>
            </w:pPr>
            <w:r>
              <w:rPr>
                <w:rFonts w:hint="eastAsia" w:ascii="仿宋_GB2312" w:hAnsi="仿宋_GB2312" w:eastAsia="仿宋_GB2312" w:cs="仿宋_GB2312"/>
              </w:rPr>
              <w:t>视汛情、险情和灾情变化，由市防汛办适时提出终止三级应急响应的建议，报副总指挥同意后宣布结束三级应急响应。</w:t>
            </w:r>
          </w:p>
        </w:tc>
        <w:tc>
          <w:tcPr>
            <w:tcW w:w="3145" w:type="dxa"/>
            <w:tcBorders>
              <w:top w:val="single" w:color="231F20" w:sz="4" w:space="0"/>
              <w:left w:val="single" w:color="231F20" w:sz="4" w:space="0"/>
              <w:bottom w:val="single" w:color="231F20" w:sz="4" w:space="0"/>
              <w:right w:val="single" w:color="231F20" w:sz="4" w:space="0"/>
            </w:tcBorders>
            <w:vAlign w:val="center"/>
          </w:tcPr>
          <w:p w14:paraId="79703444">
            <w:pPr>
              <w:pStyle w:val="12"/>
              <w:widowControl w:val="0"/>
              <w:kinsoku/>
              <w:adjustRightInd/>
              <w:snapToGrid/>
              <w:spacing w:line="300" w:lineRule="exact"/>
              <w:jc w:val="both"/>
              <w:textAlignment w:val="auto"/>
              <w:rPr>
                <w:rFonts w:hint="eastAsia" w:ascii="仿宋_GB2312" w:hAnsi="仿宋_GB2312" w:eastAsia="仿宋_GB2312" w:cs="仿宋_GB2312"/>
              </w:rPr>
            </w:pPr>
            <w:r>
              <w:rPr>
                <w:rFonts w:hint="eastAsia" w:ascii="仿宋_GB2312" w:hAnsi="仿宋_GB2312" w:eastAsia="仿宋_GB2312" w:cs="仿宋_GB2312"/>
              </w:rPr>
              <w:t>视汛情、险情和灾情变化，由市防汛办适时提出终止二级应急响应的建议，报常务副总指挥同意后宣布结束二级应急响应。</w:t>
            </w:r>
          </w:p>
        </w:tc>
        <w:tc>
          <w:tcPr>
            <w:tcW w:w="3631" w:type="dxa"/>
            <w:tcBorders>
              <w:top w:val="single" w:color="231F20" w:sz="4" w:space="0"/>
              <w:left w:val="single" w:color="231F20" w:sz="4" w:space="0"/>
              <w:bottom w:val="single" w:color="231F20" w:sz="4" w:space="0"/>
            </w:tcBorders>
            <w:vAlign w:val="center"/>
          </w:tcPr>
          <w:p w14:paraId="60920AA3">
            <w:pPr>
              <w:pStyle w:val="12"/>
              <w:widowControl w:val="0"/>
              <w:kinsoku/>
              <w:adjustRightInd/>
              <w:snapToGrid/>
              <w:spacing w:line="300" w:lineRule="exact"/>
              <w:jc w:val="both"/>
              <w:textAlignment w:val="auto"/>
              <w:rPr>
                <w:rFonts w:hint="eastAsia" w:ascii="仿宋_GB2312" w:hAnsi="仿宋_GB2312" w:eastAsia="仿宋_GB2312" w:cs="仿宋_GB2312"/>
              </w:rPr>
            </w:pPr>
            <w:r>
              <w:rPr>
                <w:rFonts w:hint="eastAsia" w:ascii="仿宋_GB2312" w:hAnsi="仿宋_GB2312" w:eastAsia="仿宋_GB2312" w:cs="仿宋_GB2312"/>
              </w:rPr>
              <w:t>视汛情、险情和灾情变化，由市防汛办适时提出终止一级应急响应的建议，报指挥部总指挥同意后宣布结束一级应急响应。</w:t>
            </w:r>
          </w:p>
        </w:tc>
      </w:tr>
      <w:tr w14:paraId="4125726E">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964" w:hRule="atLeast"/>
          <w:jc w:val="center"/>
        </w:trPr>
        <w:tc>
          <w:tcPr>
            <w:tcW w:w="1301" w:type="dxa"/>
            <w:tcBorders>
              <w:top w:val="single" w:color="231F20" w:sz="4" w:space="0"/>
              <w:right w:val="single" w:color="231F20" w:sz="4" w:space="0"/>
            </w:tcBorders>
            <w:vAlign w:val="center"/>
          </w:tcPr>
          <w:p w14:paraId="1F6553C1">
            <w:pPr>
              <w:pStyle w:val="12"/>
              <w:widowControl w:val="0"/>
              <w:kinsoku/>
              <w:adjustRightInd/>
              <w:snapToGrid/>
              <w:spacing w:line="3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rPr>
              <w:t>其他</w:t>
            </w:r>
          </w:p>
        </w:tc>
        <w:tc>
          <w:tcPr>
            <w:tcW w:w="3052" w:type="dxa"/>
            <w:tcBorders>
              <w:top w:val="single" w:color="231F20" w:sz="4" w:space="0"/>
              <w:left w:val="single" w:color="231F20" w:sz="4" w:space="0"/>
              <w:right w:val="single" w:color="231F20" w:sz="4" w:space="0"/>
            </w:tcBorders>
            <w:vAlign w:val="center"/>
          </w:tcPr>
          <w:p w14:paraId="0D4ACC23">
            <w:pPr>
              <w:pStyle w:val="12"/>
              <w:widowControl w:val="0"/>
              <w:kinsoku/>
              <w:adjustRightInd/>
              <w:snapToGrid/>
              <w:spacing w:line="300" w:lineRule="exact"/>
              <w:jc w:val="both"/>
              <w:textAlignment w:val="auto"/>
              <w:rPr>
                <w:rFonts w:hint="eastAsia" w:ascii="仿宋_GB2312" w:hAnsi="仿宋_GB2312" w:eastAsia="仿宋_GB2312" w:cs="仿宋_GB2312"/>
              </w:rPr>
            </w:pPr>
            <w:r>
              <w:rPr>
                <w:rFonts w:hint="eastAsia" w:ascii="仿宋_GB2312" w:hAnsi="仿宋_GB2312" w:eastAsia="仿宋_GB2312" w:cs="仿宋_GB2312"/>
              </w:rPr>
              <w:t>市防指根据实际情况商定需要采取的其他措施。</w:t>
            </w:r>
          </w:p>
        </w:tc>
        <w:tc>
          <w:tcPr>
            <w:tcW w:w="3895" w:type="dxa"/>
            <w:tcBorders>
              <w:top w:val="single" w:color="231F20" w:sz="4" w:space="0"/>
              <w:left w:val="single" w:color="231F20" w:sz="4" w:space="0"/>
              <w:right w:val="single" w:color="231F20" w:sz="4" w:space="0"/>
            </w:tcBorders>
            <w:vAlign w:val="center"/>
          </w:tcPr>
          <w:p w14:paraId="098616F6">
            <w:pPr>
              <w:pStyle w:val="12"/>
              <w:widowControl w:val="0"/>
              <w:kinsoku/>
              <w:adjustRightInd/>
              <w:snapToGrid/>
              <w:spacing w:line="300" w:lineRule="exact"/>
              <w:jc w:val="both"/>
              <w:textAlignment w:val="auto"/>
              <w:rPr>
                <w:rFonts w:hint="eastAsia" w:ascii="仿宋_GB2312" w:hAnsi="仿宋_GB2312" w:eastAsia="仿宋_GB2312" w:cs="仿宋_GB2312"/>
              </w:rPr>
            </w:pPr>
            <w:r>
              <w:rPr>
                <w:rFonts w:hint="eastAsia" w:ascii="仿宋_GB2312" w:hAnsi="仿宋_GB2312" w:eastAsia="仿宋_GB2312" w:cs="仿宋_GB2312"/>
              </w:rPr>
              <w:t>市防指根据实际情况商定需要采取的其他措施。</w:t>
            </w:r>
          </w:p>
        </w:tc>
        <w:tc>
          <w:tcPr>
            <w:tcW w:w="3145" w:type="dxa"/>
            <w:tcBorders>
              <w:top w:val="single" w:color="231F20" w:sz="4" w:space="0"/>
              <w:left w:val="single" w:color="231F20" w:sz="4" w:space="0"/>
              <w:right w:val="single" w:color="231F20" w:sz="4" w:space="0"/>
            </w:tcBorders>
            <w:vAlign w:val="center"/>
          </w:tcPr>
          <w:p w14:paraId="782B9057">
            <w:pPr>
              <w:pStyle w:val="12"/>
              <w:widowControl w:val="0"/>
              <w:kinsoku/>
              <w:adjustRightInd/>
              <w:snapToGrid/>
              <w:spacing w:line="300" w:lineRule="exact"/>
              <w:jc w:val="both"/>
              <w:textAlignment w:val="auto"/>
              <w:rPr>
                <w:rFonts w:hint="eastAsia" w:ascii="仿宋_GB2312" w:hAnsi="仿宋_GB2312" w:eastAsia="仿宋_GB2312" w:cs="仿宋_GB2312"/>
              </w:rPr>
            </w:pPr>
            <w:r>
              <w:rPr>
                <w:rFonts w:hint="eastAsia" w:ascii="仿宋_GB2312" w:hAnsi="仿宋_GB2312" w:eastAsia="仿宋_GB2312" w:cs="仿宋_GB2312"/>
              </w:rPr>
              <w:t>市防指根据实际情况商定需要采取的其他措施。</w:t>
            </w:r>
          </w:p>
        </w:tc>
        <w:tc>
          <w:tcPr>
            <w:tcW w:w="3631" w:type="dxa"/>
            <w:tcBorders>
              <w:top w:val="single" w:color="231F20" w:sz="4" w:space="0"/>
              <w:left w:val="single" w:color="231F20" w:sz="4" w:space="0"/>
            </w:tcBorders>
            <w:vAlign w:val="center"/>
          </w:tcPr>
          <w:p w14:paraId="3A4D438E">
            <w:pPr>
              <w:pStyle w:val="12"/>
              <w:widowControl w:val="0"/>
              <w:kinsoku/>
              <w:adjustRightInd/>
              <w:snapToGrid/>
              <w:spacing w:line="300" w:lineRule="exact"/>
              <w:jc w:val="both"/>
              <w:textAlignment w:val="auto"/>
              <w:rPr>
                <w:rFonts w:hint="eastAsia" w:ascii="仿宋_GB2312" w:hAnsi="仿宋_GB2312" w:eastAsia="仿宋_GB2312" w:cs="仿宋_GB2312"/>
              </w:rPr>
            </w:pPr>
            <w:r>
              <w:rPr>
                <w:rFonts w:hint="eastAsia" w:ascii="仿宋_GB2312" w:hAnsi="仿宋_GB2312" w:eastAsia="仿宋_GB2312" w:cs="仿宋_GB2312"/>
              </w:rPr>
              <w:t>市防指各成员单位根据防汛变化，可以向市防指提出启动相应应急响应建议，由指挥部组织相关单位召开会商会议决定。</w:t>
            </w:r>
          </w:p>
        </w:tc>
      </w:tr>
    </w:tbl>
    <w:p w14:paraId="54A3C99D">
      <w:pPr>
        <w:pStyle w:val="3"/>
        <w:tabs>
          <w:tab w:val="left" w:pos="1342"/>
        </w:tabs>
        <w:rPr>
          <w:rFonts w:ascii="Times New Roman" w:hAnsi="Times New Roman" w:eastAsia="黑体" w:cs="Times New Roman"/>
          <w:w w:val="105"/>
          <w:sz w:val="32"/>
          <w:szCs w:val="32"/>
          <w:lang w:eastAsia="zh-CN"/>
        </w:rPr>
      </w:pPr>
    </w:p>
    <w:p w14:paraId="722D6559">
      <w:pPr>
        <w:rPr>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书宋_GBK">
    <w:altName w:val="微软雅黑"/>
    <w:panose1 w:val="00000000000000000000"/>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5039F">
    <w:pPr>
      <w:pStyle w:val="3"/>
      <w:spacing w:line="14" w:lineRule="auto"/>
      <w:rPr>
        <w:sz w:val="20"/>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676275" cy="204470"/>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676275" cy="204470"/>
                      </a:xfrm>
                      <a:prstGeom prst="rect">
                        <a:avLst/>
                      </a:prstGeom>
                      <a:noFill/>
                      <a:ln>
                        <a:noFill/>
                      </a:ln>
                      <a:effectLst/>
                    </wps:spPr>
                    <wps:txbx>
                      <w:txbxContent>
                        <w:p w14:paraId="26B907B1">
                          <w:pPr>
                            <w:pStyle w:val="4"/>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53</w:t>
                          </w:r>
                          <w:r>
                            <w:rPr>
                              <w:rFonts w:ascii="Times New Roman" w:hAnsi="Times New Roman"/>
                              <w:sz w:val="28"/>
                              <w:szCs w:val="28"/>
                            </w:rPr>
                            <w:fldChar w:fldCharType="end"/>
                          </w:r>
                          <w:r>
                            <w:rPr>
                              <w:rFonts w:ascii="Times New Roman" w:hAnsi="Times New Roman"/>
                              <w:sz w:val="28"/>
                              <w:szCs w:val="28"/>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6.1pt;width:53.25pt;mso-position-horizontal:center;mso-position-horizontal-relative:margin;mso-wrap-style:none;z-index:251666432;mso-width-relative:page;mso-height-relative:page;" filled="f" stroked="f" coordsize="21600,21600" o:gfxdata="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tfLGv0gAAAAQBAAAPAAAAAAAAAAEAIAAAACIA&#10;AABkcnMvZG93bnJldi54bWxQSwECFAAUAAAACACHTuJAUZ3ScA8CAAAQBAAADgAAAAAAAAABACAA&#10;AAAhAQAAZHJzL2Uyb0RvYy54bWxQSwUGAAAAAAYABgBZAQAAogUAAAAA&#10;">
              <v:fill on="f" focussize="0,0"/>
              <v:stroke on="f"/>
              <v:imagedata o:title=""/>
              <o:lock v:ext="edit" aspectratio="f"/>
              <v:textbox inset="0mm,0mm,0mm,0mm" style="mso-fit-shape-to-text:t;">
                <w:txbxContent>
                  <w:p w14:paraId="26B907B1">
                    <w:pPr>
                      <w:pStyle w:val="4"/>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53</w:t>
                    </w:r>
                    <w:r>
                      <w:rPr>
                        <w:rFonts w:ascii="Times New Roman" w:hAnsi="Times New Roman"/>
                        <w:sz w:val="28"/>
                        <w:szCs w:val="28"/>
                      </w:rPr>
                      <w:fldChar w:fldCharType="end"/>
                    </w:r>
                    <w:r>
                      <w:rPr>
                        <w:rFonts w:ascii="Times New Roman" w:hAnsi="Times New Roman"/>
                        <w:sz w:val="28"/>
                        <w:szCs w:val="28"/>
                      </w:rPr>
                      <w:t xml:space="preserve"> —</w:t>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7147560</wp:posOffset>
              </wp:positionH>
              <wp:positionV relativeFrom="page">
                <wp:posOffset>9841865</wp:posOffset>
              </wp:positionV>
              <wp:extent cx="191770" cy="219710"/>
              <wp:effectExtent l="0" t="0" r="17780" b="8890"/>
              <wp:wrapNone/>
              <wp:docPr id="4" name="文本框 4"/>
              <wp:cNvGraphicFramePr/>
              <a:graphic xmlns:a="http://schemas.openxmlformats.org/drawingml/2006/main">
                <a:graphicData uri="http://schemas.microsoft.com/office/word/2010/wordprocessingShape">
                  <wps:wsp>
                    <wps:cNvSpPr txBox="1"/>
                    <wps:spPr>
                      <a:xfrm>
                        <a:off x="0" y="0"/>
                        <a:ext cx="191770" cy="219710"/>
                      </a:xfrm>
                      <a:prstGeom prst="rect">
                        <a:avLst/>
                      </a:prstGeom>
                      <a:noFill/>
                      <a:ln>
                        <a:noFill/>
                      </a:ln>
                    </wps:spPr>
                    <wps:txbx>
                      <w:txbxContent>
                        <w:p w14:paraId="097C47FD">
                          <w:pPr>
                            <w:spacing w:before="13" w:line="332" w:lineRule="exact"/>
                            <w:ind w:left="20"/>
                            <w:rPr>
                              <w:rFonts w:ascii="宋体" w:hAnsi="宋体"/>
                              <w:sz w:val="26"/>
                            </w:rPr>
                          </w:pPr>
                        </w:p>
                      </w:txbxContent>
                    </wps:txbx>
                    <wps:bodyPr lIns="0" tIns="0" rIns="0" bIns="0" upright="1"/>
                  </wps:wsp>
                </a:graphicData>
              </a:graphic>
            </wp:anchor>
          </w:drawing>
        </mc:Choice>
        <mc:Fallback>
          <w:pict>
            <v:shape id="_x0000_s1026" o:spid="_x0000_s1026" o:spt="202" type="#_x0000_t202" style="position:absolute;left:0pt;margin-left:562.8pt;margin-top:774.95pt;height:17.3pt;width:15.1pt;mso-position-horizontal-relative:page;mso-position-vertical-relative:page;z-index:-251654144;mso-width-relative:page;mso-height-relative:page;" filled="f" stroked="f" coordsize="21600,21600" o:gfxdata="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v64ec9sAAAAPAQAADwAAAAAAAAABACAAAAAiAAAAZHJzL2Rvd25yZXYueG1sUEsB&#10;AhQAFAAAAAgAh07iQBfAt2i5AQAAcQMAAA4AAAAAAAAAAQAgAAAAKgEAAGRycy9lMm9Eb2MueG1s&#10;UEsFBgAAAAAGAAYAWQEAAFUFAAAAAA==&#10;">
              <v:fill on="f" focussize="0,0"/>
              <v:stroke on="f"/>
              <v:imagedata o:title=""/>
              <o:lock v:ext="edit" aspectratio="f"/>
              <v:textbox inset="0mm,0mm,0mm,0mm">
                <w:txbxContent>
                  <w:p w14:paraId="097C47FD">
                    <w:pPr>
                      <w:spacing w:before="13" w:line="332" w:lineRule="exact"/>
                      <w:ind w:left="20"/>
                      <w:rPr>
                        <w:rFonts w:ascii="宋体" w:hAnsi="宋体"/>
                        <w:sz w:val="26"/>
                      </w:rPr>
                    </w:pPr>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7768590</wp:posOffset>
              </wp:positionH>
              <wp:positionV relativeFrom="page">
                <wp:posOffset>9841865</wp:posOffset>
              </wp:positionV>
              <wp:extent cx="191770" cy="219710"/>
              <wp:effectExtent l="0" t="0" r="17780" b="8890"/>
              <wp:wrapNone/>
              <wp:docPr id="3" name="文本框 3"/>
              <wp:cNvGraphicFramePr/>
              <a:graphic xmlns:a="http://schemas.openxmlformats.org/drawingml/2006/main">
                <a:graphicData uri="http://schemas.microsoft.com/office/word/2010/wordprocessingShape">
                  <wps:wsp>
                    <wps:cNvSpPr txBox="1"/>
                    <wps:spPr>
                      <a:xfrm>
                        <a:off x="0" y="0"/>
                        <a:ext cx="191770" cy="219710"/>
                      </a:xfrm>
                      <a:prstGeom prst="rect">
                        <a:avLst/>
                      </a:prstGeom>
                      <a:noFill/>
                      <a:ln>
                        <a:noFill/>
                      </a:ln>
                    </wps:spPr>
                    <wps:txbx>
                      <w:txbxContent>
                        <w:p w14:paraId="2C91C6B7">
                          <w:pPr>
                            <w:spacing w:before="13" w:line="332" w:lineRule="exact"/>
                            <w:ind w:left="20"/>
                            <w:rPr>
                              <w:rFonts w:ascii="宋体" w:hAnsi="宋体"/>
                              <w:sz w:val="26"/>
                            </w:rPr>
                          </w:pPr>
                        </w:p>
                      </w:txbxContent>
                    </wps:txbx>
                    <wps:bodyPr lIns="0" tIns="0" rIns="0" bIns="0" upright="1"/>
                  </wps:wsp>
                </a:graphicData>
              </a:graphic>
            </wp:anchor>
          </w:drawing>
        </mc:Choice>
        <mc:Fallback>
          <w:pict>
            <v:shape id="_x0000_s1026" o:spid="_x0000_s1026" o:spt="202" type="#_x0000_t202" style="position:absolute;left:0pt;margin-left:611.7pt;margin-top:774.95pt;height:17.3pt;width:15.1pt;mso-position-horizontal-relative:page;mso-position-vertical-relative:page;z-index:-251653120;mso-width-relative:page;mso-height-relative:page;" filled="f" stroked="f" coordsize="21600,21600" o:gfxdata="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N/9Lt3cAAAADwEAAA8AAAAAAAAAAQAgAAAAIgAAAGRycy9kb3ducmV2LnhtbFBL&#10;AQIUABQAAAAIAIdO4kBeGYi3uQEAAHEDAAAOAAAAAAAAAAEAIAAAACsBAABkcnMvZTJvRG9jLnht&#10;bFBLBQYAAAAABgAGAFkBAABWBQAAAAA=&#10;">
              <v:fill on="f" focussize="0,0"/>
              <v:stroke on="f"/>
              <v:imagedata o:title=""/>
              <o:lock v:ext="edit" aspectratio="f"/>
              <v:textbox inset="0mm,0mm,0mm,0mm">
                <w:txbxContent>
                  <w:p w14:paraId="2C91C6B7">
                    <w:pPr>
                      <w:spacing w:before="13" w:line="332" w:lineRule="exact"/>
                      <w:ind w:left="20"/>
                      <w:rPr>
                        <w:rFonts w:ascii="宋体" w:hAnsi="宋体"/>
                        <w:sz w:val="26"/>
                      </w:rPr>
                    </w:pPr>
                  </w:p>
                </w:txbxContent>
              </v:textbox>
            </v:shape>
          </w:pict>
        </mc:Fallback>
      </mc:AlternateContent>
    </w:r>
    <w:r>
      <mc:AlternateContent>
        <mc:Choice Requires="wps">
          <w:drawing>
            <wp:anchor distT="0" distB="0" distL="114300" distR="114300" simplePos="0" relativeHeight="251664384" behindDoc="1" locked="0" layoutInCell="1" allowOverlap="1">
              <wp:simplePos x="0" y="0"/>
              <wp:positionH relativeFrom="page">
                <wp:posOffset>7388225</wp:posOffset>
              </wp:positionH>
              <wp:positionV relativeFrom="page">
                <wp:posOffset>9869805</wp:posOffset>
              </wp:positionV>
              <wp:extent cx="344170" cy="219710"/>
              <wp:effectExtent l="0" t="0" r="17780" b="8890"/>
              <wp:wrapNone/>
              <wp:docPr id="2" name="文本框 2"/>
              <wp:cNvGraphicFramePr/>
              <a:graphic xmlns:a="http://schemas.openxmlformats.org/drawingml/2006/main">
                <a:graphicData uri="http://schemas.microsoft.com/office/word/2010/wordprocessingShape">
                  <wps:wsp>
                    <wps:cNvSpPr txBox="1"/>
                    <wps:spPr>
                      <a:xfrm>
                        <a:off x="0" y="0"/>
                        <a:ext cx="344170" cy="219710"/>
                      </a:xfrm>
                      <a:prstGeom prst="rect">
                        <a:avLst/>
                      </a:prstGeom>
                      <a:noFill/>
                      <a:ln>
                        <a:noFill/>
                      </a:ln>
                    </wps:spPr>
                    <wps:txbx>
                      <w:txbxContent>
                        <w:p w14:paraId="48541B65">
                          <w:pPr>
                            <w:spacing w:before="13" w:line="332" w:lineRule="exact"/>
                            <w:ind w:left="60"/>
                            <w:rPr>
                              <w:rFonts w:ascii="宋体" w:eastAsia="方正书宋_GBK"/>
                              <w:sz w:val="26"/>
                              <w:lang w:eastAsia="zh-CN"/>
                            </w:rPr>
                          </w:pPr>
                        </w:p>
                      </w:txbxContent>
                    </wps:txbx>
                    <wps:bodyPr lIns="0" tIns="0" rIns="0" bIns="0" upright="1"/>
                  </wps:wsp>
                </a:graphicData>
              </a:graphic>
            </wp:anchor>
          </w:drawing>
        </mc:Choice>
        <mc:Fallback>
          <w:pict>
            <v:shape id="_x0000_s1026" o:spid="_x0000_s1026" o:spt="202" type="#_x0000_t202" style="position:absolute;left:0pt;margin-left:581.75pt;margin-top:777.15pt;height:17.3pt;width:27.1pt;mso-position-horizontal-relative:page;mso-position-vertical-relative:page;z-index:-251652096;mso-width-relative:page;mso-height-relative:page;" filled="f" stroked="f" coordsize="21600,21600" o:gfxdata="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GT7aF3AAAAA8BAAAPAAAAAAAAAAEAIAAAACIAAABkcnMvZG93bnJldi54bWxQ&#10;SwECFAAUAAAACACHTuJA0+czEroBAABxAwAADgAAAAAAAAABACAAAAArAQAAZHJzL2Uyb0RvYy54&#10;bWxQSwUGAAAAAAYABgBZAQAAVwUAAAAA&#10;">
              <v:fill on="f" focussize="0,0"/>
              <v:stroke on="f"/>
              <v:imagedata o:title=""/>
              <o:lock v:ext="edit" aspectratio="f"/>
              <v:textbox inset="0mm,0mm,0mm,0mm">
                <w:txbxContent>
                  <w:p w14:paraId="48541B65">
                    <w:pPr>
                      <w:spacing w:before="13" w:line="332" w:lineRule="exact"/>
                      <w:ind w:left="60"/>
                      <w:rPr>
                        <w:rFonts w:ascii="宋体" w:eastAsia="方正书宋_GBK"/>
                        <w:sz w:val="26"/>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3411A">
    <w:pPr>
      <w:pStyle w:val="3"/>
      <w:spacing w:line="14" w:lineRule="auto"/>
      <w:rPr>
        <w:sz w:val="20"/>
      </w:rPr>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23CB6526">
                          <w:pPr>
                            <w:pStyle w:val="4"/>
                          </w:pPr>
                          <w:r>
                            <w:t xml:space="preserve">— </w:t>
                          </w:r>
                          <w:r>
                            <w:fldChar w:fldCharType="begin"/>
                          </w:r>
                          <w:r>
                            <w:instrText xml:space="preserve"> PAGE  \* MERGEFORMAT </w:instrText>
                          </w:r>
                          <w:r>
                            <w:fldChar w:fldCharType="separate"/>
                          </w:r>
                          <w:r>
                            <w:t>53</w:t>
                          </w:r>
                          <w:r>
                            <w:fldChar w:fldCharType="end"/>
                          </w:r>
                          <w: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OqXm5zwAAAAUBAAAPAAAAAAAAAAEAIAAAACIAAABkcnMvZG93bnJldi54&#10;bWxQSwECFAAUAAAACACHTuJA5STQfgMCAAAEBAAADgAAAAAAAAABACAAAAAeAQAAZHJzL2Uyb0Rv&#10;Yy54bWxQSwUGAAAAAAYABgBZAQAAkwUAAAAA&#10;">
              <v:fill on="f" focussize="0,0"/>
              <v:stroke on="f"/>
              <v:imagedata o:title=""/>
              <o:lock v:ext="edit" aspectratio="f"/>
              <v:textbox inset="0mm,0mm,0mm,0mm" style="mso-fit-shape-to-text:t;">
                <w:txbxContent>
                  <w:p w14:paraId="23CB6526">
                    <w:pPr>
                      <w:pStyle w:val="4"/>
                    </w:pPr>
                    <w:r>
                      <w:t xml:space="preserve">— </w:t>
                    </w:r>
                    <w:r>
                      <w:fldChar w:fldCharType="begin"/>
                    </w:r>
                    <w:r>
                      <w:instrText xml:space="preserve"> PAGE  \* MERGEFORMAT </w:instrText>
                    </w:r>
                    <w:r>
                      <w:fldChar w:fldCharType="separate"/>
                    </w:r>
                    <w:r>
                      <w:t>53</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7147560</wp:posOffset>
              </wp:positionH>
              <wp:positionV relativeFrom="page">
                <wp:posOffset>9841865</wp:posOffset>
              </wp:positionV>
              <wp:extent cx="191770" cy="219710"/>
              <wp:effectExtent l="0" t="0" r="17780" b="8890"/>
              <wp:wrapNone/>
              <wp:docPr id="7" name="文本框 7"/>
              <wp:cNvGraphicFramePr/>
              <a:graphic xmlns:a="http://schemas.openxmlformats.org/drawingml/2006/main">
                <a:graphicData uri="http://schemas.microsoft.com/office/word/2010/wordprocessingShape">
                  <wps:wsp>
                    <wps:cNvSpPr txBox="1"/>
                    <wps:spPr>
                      <a:xfrm>
                        <a:off x="0" y="0"/>
                        <a:ext cx="191770" cy="219710"/>
                      </a:xfrm>
                      <a:prstGeom prst="rect">
                        <a:avLst/>
                      </a:prstGeom>
                      <a:noFill/>
                      <a:ln>
                        <a:noFill/>
                      </a:ln>
                    </wps:spPr>
                    <wps:txbx>
                      <w:txbxContent>
                        <w:p w14:paraId="4C71C988">
                          <w:pPr>
                            <w:spacing w:before="13" w:line="332" w:lineRule="exact"/>
                            <w:ind w:left="20"/>
                            <w:rPr>
                              <w:rFonts w:ascii="宋体" w:hAnsi="宋体"/>
                              <w:sz w:val="26"/>
                            </w:rPr>
                          </w:pPr>
                        </w:p>
                      </w:txbxContent>
                    </wps:txbx>
                    <wps:bodyPr lIns="0" tIns="0" rIns="0" bIns="0" upright="1"/>
                  </wps:wsp>
                </a:graphicData>
              </a:graphic>
            </wp:anchor>
          </w:drawing>
        </mc:Choice>
        <mc:Fallback>
          <w:pict>
            <v:shape id="_x0000_s1026" o:spid="_x0000_s1026" o:spt="202" type="#_x0000_t202" style="position:absolute;left:0pt;margin-left:562.8pt;margin-top:774.95pt;height:17.3pt;width:15.1pt;mso-position-horizontal-relative:page;mso-position-vertical-relative:page;z-index:-251657216;mso-width-relative:page;mso-height-relative:page;" filled="f" stroked="f" coordsize="21600,21600" o:gfxdata="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v64ec9sAAAAPAQAADwAAAAAAAAABACAAAAAiAAAAZHJzL2Rvd25yZXYueG1sUEsB&#10;AhQAFAAAAAgAh07iQEnUvFa5AQAAcQMAAA4AAAAAAAAAAQAgAAAAKgEAAGRycy9lMm9Eb2MueG1s&#10;UEsFBgAAAAAGAAYAWQEAAFUFAAAAAA==&#10;">
              <v:fill on="f" focussize="0,0"/>
              <v:stroke on="f"/>
              <v:imagedata o:title=""/>
              <o:lock v:ext="edit" aspectratio="f"/>
              <v:textbox inset="0mm,0mm,0mm,0mm">
                <w:txbxContent>
                  <w:p w14:paraId="4C71C988">
                    <w:pPr>
                      <w:spacing w:before="13" w:line="332" w:lineRule="exact"/>
                      <w:ind w:left="20"/>
                      <w:rPr>
                        <w:rFonts w:ascii="宋体" w:hAnsi="宋体"/>
                        <w:sz w:val="26"/>
                      </w:rPr>
                    </w:pP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7768590</wp:posOffset>
              </wp:positionH>
              <wp:positionV relativeFrom="page">
                <wp:posOffset>9841865</wp:posOffset>
              </wp:positionV>
              <wp:extent cx="191770" cy="219710"/>
              <wp:effectExtent l="0" t="0" r="17780" b="8890"/>
              <wp:wrapNone/>
              <wp:docPr id="8" name="文本框 8"/>
              <wp:cNvGraphicFramePr/>
              <a:graphic xmlns:a="http://schemas.openxmlformats.org/drawingml/2006/main">
                <a:graphicData uri="http://schemas.microsoft.com/office/word/2010/wordprocessingShape">
                  <wps:wsp>
                    <wps:cNvSpPr txBox="1"/>
                    <wps:spPr>
                      <a:xfrm>
                        <a:off x="0" y="0"/>
                        <a:ext cx="191770" cy="219710"/>
                      </a:xfrm>
                      <a:prstGeom prst="rect">
                        <a:avLst/>
                      </a:prstGeom>
                      <a:noFill/>
                      <a:ln>
                        <a:noFill/>
                      </a:ln>
                    </wps:spPr>
                    <wps:txbx>
                      <w:txbxContent>
                        <w:p w14:paraId="6541648E">
                          <w:pPr>
                            <w:spacing w:before="13" w:line="332" w:lineRule="exact"/>
                            <w:ind w:left="20"/>
                            <w:rPr>
                              <w:rFonts w:ascii="宋体" w:hAnsi="宋体"/>
                              <w:sz w:val="26"/>
                            </w:rPr>
                          </w:pPr>
                        </w:p>
                      </w:txbxContent>
                    </wps:txbx>
                    <wps:bodyPr lIns="0" tIns="0" rIns="0" bIns="0" upright="1"/>
                  </wps:wsp>
                </a:graphicData>
              </a:graphic>
            </wp:anchor>
          </w:drawing>
        </mc:Choice>
        <mc:Fallback>
          <w:pict>
            <v:shape id="_x0000_s1026" o:spid="_x0000_s1026" o:spt="202" type="#_x0000_t202" style="position:absolute;left:0pt;margin-left:611.7pt;margin-top:774.95pt;height:17.3pt;width:15.1pt;mso-position-horizontal-relative:page;mso-position-vertical-relative:page;z-index:-251656192;mso-width-relative:page;mso-height-relative:page;" filled="f" stroked="f" coordsize="21600,21600" o:gfxdata="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3/0u3dwAAAAPAQAADwAAAAAAAAABACAAAAAiAAAAZHJzL2Rvd25yZXYueG1sUEsB&#10;AhQAFAAAAAgAh07iQG+Rm5C4AQAAcQMAAA4AAAAAAAAAAQAgAAAAKwEAAGRycy9lMm9Eb2MueG1s&#10;UEsFBgAAAAAGAAYAWQEAAFUFAAAAAA==&#10;">
              <v:fill on="f" focussize="0,0"/>
              <v:stroke on="f"/>
              <v:imagedata o:title=""/>
              <o:lock v:ext="edit" aspectratio="f"/>
              <v:textbox inset="0mm,0mm,0mm,0mm">
                <w:txbxContent>
                  <w:p w14:paraId="6541648E">
                    <w:pPr>
                      <w:spacing w:before="13" w:line="332" w:lineRule="exact"/>
                      <w:ind w:left="20"/>
                      <w:rPr>
                        <w:rFonts w:ascii="宋体" w:hAnsi="宋体"/>
                        <w:sz w:val="26"/>
                      </w:rPr>
                    </w:pP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7388225</wp:posOffset>
              </wp:positionH>
              <wp:positionV relativeFrom="page">
                <wp:posOffset>9869805</wp:posOffset>
              </wp:positionV>
              <wp:extent cx="344170" cy="219710"/>
              <wp:effectExtent l="0" t="0" r="17780" b="8890"/>
              <wp:wrapNone/>
              <wp:docPr id="12" name="文本框 12"/>
              <wp:cNvGraphicFramePr/>
              <a:graphic xmlns:a="http://schemas.openxmlformats.org/drawingml/2006/main">
                <a:graphicData uri="http://schemas.microsoft.com/office/word/2010/wordprocessingShape">
                  <wps:wsp>
                    <wps:cNvSpPr txBox="1"/>
                    <wps:spPr>
                      <a:xfrm>
                        <a:off x="0" y="0"/>
                        <a:ext cx="344170" cy="219710"/>
                      </a:xfrm>
                      <a:prstGeom prst="rect">
                        <a:avLst/>
                      </a:prstGeom>
                      <a:noFill/>
                      <a:ln>
                        <a:noFill/>
                      </a:ln>
                    </wps:spPr>
                    <wps:txbx>
                      <w:txbxContent>
                        <w:p w14:paraId="6AF663DF">
                          <w:pPr>
                            <w:spacing w:before="13" w:line="332" w:lineRule="exact"/>
                            <w:ind w:left="60"/>
                            <w:rPr>
                              <w:rFonts w:ascii="宋体" w:eastAsia="方正书宋_GBK"/>
                              <w:sz w:val="26"/>
                              <w:lang w:eastAsia="zh-CN"/>
                            </w:rPr>
                          </w:pPr>
                        </w:p>
                      </w:txbxContent>
                    </wps:txbx>
                    <wps:bodyPr lIns="0" tIns="0" rIns="0" bIns="0" upright="1"/>
                  </wps:wsp>
                </a:graphicData>
              </a:graphic>
            </wp:anchor>
          </w:drawing>
        </mc:Choice>
        <mc:Fallback>
          <w:pict>
            <v:shape id="_x0000_s1026" o:spid="_x0000_s1026" o:spt="202" type="#_x0000_t202" style="position:absolute;left:0pt;margin-left:581.75pt;margin-top:777.15pt;height:17.3pt;width:27.1pt;mso-position-horizontal-relative:page;mso-position-vertical-relative:page;z-index:-251655168;mso-width-relative:page;mso-height-relative:page;" filled="f" stroked="f" coordsize="21600,21600" o:gfxdata="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GT7aF3AAAAA8BAAAPAAAAAAAAAAEAIAAAACIAAABkcnMvZG93bnJldi54bWxQ&#10;SwECFAAUAAAACACHTuJAw3eKuroBAABzAwAADgAAAAAAAAABACAAAAArAQAAZHJzL2Uyb0RvYy54&#10;bWxQSwUGAAAAAAYABgBZAQAAVwUAAAAA&#10;">
              <v:fill on="f" focussize="0,0"/>
              <v:stroke on="f"/>
              <v:imagedata o:title=""/>
              <o:lock v:ext="edit" aspectratio="f"/>
              <v:textbox inset="0mm,0mm,0mm,0mm">
                <w:txbxContent>
                  <w:p w14:paraId="6AF663DF">
                    <w:pPr>
                      <w:spacing w:before="13" w:line="332" w:lineRule="exact"/>
                      <w:ind w:left="60"/>
                      <w:rPr>
                        <w:rFonts w:ascii="宋体" w:eastAsia="方正书宋_GBK"/>
                        <w:sz w:val="26"/>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nforcement="0"/>
  <w:defaultTabStop w:val="420"/>
  <w:drawingGridHorizontalSpacing w:val="1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168"/>
    <w:rsid w:val="009112DC"/>
    <w:rsid w:val="00956168"/>
    <w:rsid w:val="00AB7F5E"/>
    <w:rsid w:val="00AF2434"/>
    <w:rsid w:val="00B16A01"/>
    <w:rsid w:val="00B609EB"/>
    <w:rsid w:val="6E554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link w:val="11"/>
    <w:semiHidden/>
    <w:qFormat/>
    <w:uiPriority w:val="0"/>
  </w:style>
  <w:style w:type="paragraph" w:styleId="4">
    <w:name w:val="footer"/>
    <w:basedOn w:val="1"/>
    <w:link w:val="10"/>
    <w:unhideWhenUsed/>
    <w:qFormat/>
    <w:uiPriority w:val="0"/>
    <w:pPr>
      <w:widowControl w:val="0"/>
      <w:tabs>
        <w:tab w:val="center" w:pos="4153"/>
        <w:tab w:val="right" w:pos="8306"/>
      </w:tabs>
      <w:kinsoku/>
      <w:autoSpaceDE/>
      <w:autoSpaceDN/>
      <w:adjustRightInd/>
      <w:textAlignment w:val="auto"/>
    </w:pPr>
    <w:rPr>
      <w:rFonts w:ascii="Calibri" w:hAnsi="Calibri" w:eastAsia="宋体" w:cs="Times New Roman"/>
      <w:snapToGrid/>
      <w:color w:val="auto"/>
      <w:kern w:val="2"/>
      <w:sz w:val="18"/>
      <w:szCs w:val="18"/>
      <w:lang w:eastAsia="zh-CN"/>
    </w:rPr>
  </w:style>
  <w:style w:type="paragraph" w:styleId="5">
    <w:name w:val="header"/>
    <w:basedOn w:val="1"/>
    <w:link w:val="9"/>
    <w:unhideWhenUsed/>
    <w:uiPriority w:val="99"/>
    <w:pPr>
      <w:widowControl w:val="0"/>
      <w:pBdr>
        <w:bottom w:val="single" w:color="auto" w:sz="6" w:space="1"/>
      </w:pBdr>
      <w:tabs>
        <w:tab w:val="center" w:pos="4153"/>
        <w:tab w:val="right" w:pos="8306"/>
      </w:tabs>
      <w:kinsoku/>
      <w:autoSpaceDE/>
      <w:autoSpaceDN/>
      <w:adjustRightInd/>
      <w:jc w:val="center"/>
      <w:textAlignment w:val="auto"/>
    </w:pPr>
    <w:rPr>
      <w:rFonts w:ascii="Calibri" w:hAnsi="Calibri" w:eastAsia="宋体" w:cs="Times New Roman"/>
      <w:snapToGrid/>
      <w:color w:val="auto"/>
      <w:kern w:val="2"/>
      <w:sz w:val="18"/>
      <w:szCs w:val="18"/>
      <w:lang w:eastAsia="zh-CN"/>
    </w:rPr>
  </w:style>
  <w:style w:type="paragraph" w:styleId="6">
    <w:name w:val="List"/>
    <w:basedOn w:val="1"/>
    <w:qFormat/>
    <w:uiPriority w:val="0"/>
    <w:pPr>
      <w:contextualSpacing/>
      <w:jc w:val="center"/>
    </w:pPr>
  </w:style>
  <w:style w:type="character" w:customStyle="1" w:styleId="9">
    <w:name w:val="页眉 字符"/>
    <w:basedOn w:val="8"/>
    <w:link w:val="5"/>
    <w:uiPriority w:val="99"/>
    <w:rPr>
      <w:sz w:val="18"/>
      <w:szCs w:val="18"/>
    </w:rPr>
  </w:style>
  <w:style w:type="character" w:customStyle="1" w:styleId="10">
    <w:name w:val="页脚 字符"/>
    <w:basedOn w:val="8"/>
    <w:link w:val="4"/>
    <w:uiPriority w:val="99"/>
    <w:rPr>
      <w:sz w:val="18"/>
      <w:szCs w:val="18"/>
    </w:rPr>
  </w:style>
  <w:style w:type="character" w:customStyle="1" w:styleId="11">
    <w:name w:val="正文文本 字符"/>
    <w:basedOn w:val="8"/>
    <w:link w:val="3"/>
    <w:semiHidden/>
    <w:uiPriority w:val="0"/>
    <w:rPr>
      <w:rFonts w:ascii="Arial" w:hAnsi="Arial" w:eastAsia="Arial" w:cs="Arial"/>
      <w:snapToGrid w:val="0"/>
      <w:color w:val="000000"/>
      <w:kern w:val="0"/>
      <w:sz w:val="21"/>
      <w:szCs w:val="21"/>
      <w:lang w:eastAsia="en-US"/>
    </w:rPr>
  </w:style>
  <w:style w:type="paragraph" w:customStyle="1" w:styleId="12">
    <w:name w:val="Table Paragraph"/>
    <w:basedOn w:val="1"/>
    <w:qFormat/>
    <w:uiPriority w:val="1"/>
    <w:rPr>
      <w:rFonts w:ascii="方正书宋_GBK" w:hAnsi="方正书宋_GBK" w:eastAsia="方正书宋_GBK" w:cs="方正书宋_GBK"/>
      <w:lang w:eastAsia="zh-CN"/>
    </w:rPr>
  </w:style>
  <w:style w:type="character" w:customStyle="1" w:styleId="13">
    <w:name w:val="标题 1 字符"/>
    <w:basedOn w:val="8"/>
    <w:link w:val="2"/>
    <w:qFormat/>
    <w:uiPriority w:val="9"/>
    <w:rPr>
      <w:rFonts w:ascii="Arial" w:hAnsi="Arial" w:eastAsia="Arial" w:cs="Arial"/>
      <w:b/>
      <w:bCs/>
      <w:snapToGrid w:val="0"/>
      <w:color w:val="000000"/>
      <w:kern w:val="44"/>
      <w:sz w:val="44"/>
      <w:szCs w:val="44"/>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235AF7-24B1-4C39-9747-D9A4130BA135}">
  <ds:schemaRefs/>
</ds:datastoreItem>
</file>

<file path=docProps/app.xml><?xml version="1.0" encoding="utf-8"?>
<Properties xmlns="http://schemas.openxmlformats.org/officeDocument/2006/extended-properties" xmlns:vt="http://schemas.openxmlformats.org/officeDocument/2006/docPropsVTypes">
  <Template>Normal.dotm</Template>
  <Pages>8</Pages>
  <Words>5143</Words>
  <Characters>5150</Characters>
  <Lines>48</Lines>
  <Paragraphs>13</Paragraphs>
  <TotalTime>3</TotalTime>
  <ScaleCrop>false</ScaleCrop>
  <LinksUpToDate>false</LinksUpToDate>
  <CharactersWithSpaces>5151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2024-10-17T04:02:00Z</dcterms:created>
  <dc:creator>演示人</dc:creator>
  <cp:lastModifiedBy>NAMANNANA</cp:lastModifiedBy>
  <dcterms:modified xsi:type="dcterms:W3CDTF">2026-05-27T07:29:11Z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eyJoZGlkIjoiYjk5ODM0YmMxOWJiYWQyNDU4MGIzYWRmYTA0ZmI5NDciLCJ1c2VySWQiOiI0MTQwMzAxNjUifQ==</vt:lpwstr>
  </property>
  <property fmtid="{D5CDD505-2E9C-101B-9397-08002B2CF9AE}" pid="3" name="KSOProductBuildVer">
    <vt:lpwstr>2052-12.1.0.26375</vt:lpwstr>
  </property>
  <property fmtid="{D5CDD505-2E9C-101B-9397-08002B2CF9AE}" pid="4" name="ICV">
    <vt:lpwstr>FC51FC618ED14B97879EA929810A1808_13</vt:lpwstr>
  </property>
</Properties>
</file>