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乌海市工业和信息化局</w:t>
      </w:r>
      <w:r>
        <w:rPr>
          <w:rFonts w:ascii="Times New Roman" w:hAnsi="Times New Roman" w:eastAsia="方正小标宋简体" w:cs="Times New Roman"/>
          <w:sz w:val="44"/>
          <w:szCs w:val="44"/>
        </w:rPr>
        <w:t>关于印发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《市工信局2021年工作要点》的通知</w:t>
      </w:r>
    </w:p>
    <w:p>
      <w:pPr>
        <w:pStyle w:val="2"/>
        <w:spacing w:before="0" w:beforeAutospacing="0" w:after="0" w:afterAutospacing="0" w:line="60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机关各科室、局属二级单位：</w:t>
      </w:r>
    </w:p>
    <w:p>
      <w:pPr>
        <w:pStyle w:val="2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现将《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市工信局2021年工作要点</w:t>
      </w:r>
      <w:r>
        <w:rPr>
          <w:rFonts w:ascii="Times New Roman" w:hAnsi="Times New Roman" w:eastAsia="仿宋_GB2312" w:cs="Times New Roman"/>
          <w:sz w:val="32"/>
          <w:szCs w:val="32"/>
        </w:rPr>
        <w:t>》印发给你们，请结合实际抓好落实。</w:t>
      </w:r>
    </w:p>
    <w:p>
      <w:pPr>
        <w:pStyle w:val="2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2021年3月3日  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市工信局2021年工作要点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2021年是全面开启现代化建设新征程的第一年，是“十四五”规划的开局之年。市工信局将坚持以习近平新时代中国特色社会主义思想为指导，全面贯彻党的十九届五中全会、中央经济工作会议精神，紧紧围绕自治区党委、政府各项决策部署和市委、市政府的工作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</w:t>
      </w:r>
      <w:r>
        <w:rPr>
          <w:rFonts w:ascii="Times New Roman" w:hAnsi="Times New Roman" w:eastAsia="仿宋_GB2312" w:cs="Times New Roman"/>
          <w:sz w:val="32"/>
          <w:szCs w:val="32"/>
        </w:rPr>
        <w:t>稳中求进工作总基调，全面深化供给侧结构性改革，坚持生态优先、绿色发展，着眼产业结构转型升级，推动我市工业经济高质量发展。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一、围绕稳中有进，着力抓好经济运行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（一）抓好建成企业有序投产，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争取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符合条件企业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尽早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入规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紧盯</w:t>
      </w:r>
      <w:r>
        <w:rPr>
          <w:rFonts w:ascii="Times New Roman" w:hAnsi="Times New Roman" w:eastAsia="楷体_GB2312" w:cs="Times New Roman"/>
          <w:sz w:val="32"/>
          <w:szCs w:val="32"/>
        </w:rPr>
        <w:t>有新增长点企业稳定生产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通过定期调度及时掌握相关情况，围绕稳增长目标，紧盯经济运行变化，确保已建成企业有序投产。抓好新的经济增长点，对达到规上企业条件的企业，逐一排队，够条件即刻申报升规，紧盯升规不放松，争取更多的企业纳入规模以上工业统计。加强工业经济运行监测预警、分析调度和服务保障，着重关注重点产业和重点企业，强化运行服务和要素保障，力促骨干企业生产经营稳定运行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预计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2021年</w:t>
      </w:r>
      <w:r>
        <w:rPr>
          <w:rFonts w:hint="eastAsia" w:ascii="Times New Roman" w:hAnsi="Times New Roman" w:eastAsia="仿宋_GB2312"/>
          <w:sz w:val="32"/>
          <w:szCs w:val="32"/>
        </w:rPr>
        <w:t>工业增加值增长</w:t>
      </w:r>
      <w:r>
        <w:rPr>
          <w:rFonts w:ascii="Times New Roman" w:hAnsi="Times New Roman" w:eastAsia="仿宋_GB2312"/>
          <w:sz w:val="32"/>
          <w:szCs w:val="32"/>
        </w:rPr>
        <w:t>8%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二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）做好稳企纾困政策的落实，紧抓电价调整改革的及早应对申报。</w:t>
      </w:r>
      <w:r>
        <w:rPr>
          <w:rFonts w:ascii="Times New Roman" w:hAnsi="Times New Roman" w:eastAsia="仿宋_GB2312" w:cs="Times New Roman"/>
          <w:sz w:val="32"/>
          <w:szCs w:val="32"/>
        </w:rPr>
        <w:t>认真研究国家、自治区、我市相关政策内容，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协调对接好电价调整改革、电力多边交易、减税降费等纾困政策的申报落实工作，切实为企业减轻负担，</w:t>
      </w:r>
      <w:r>
        <w:rPr>
          <w:rFonts w:ascii="Times New Roman" w:hAnsi="Times New Roman" w:eastAsia="仿宋_GB2312" w:cs="Times New Roman"/>
          <w:sz w:val="32"/>
          <w:szCs w:val="32"/>
        </w:rPr>
        <w:t>降低生产成本。建立工业经济运行部门联席会议和规上工业企业问题清单管理制度，定期对三区和各重点企业经营情况进行调度，及时了解困难和问题，积极协调各相关部门进行解决。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二、围绕稳定投资，着力抓好项目建设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2021年，初步确定40个工业重点项目，总投资735亿元。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（一）加快20个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续</w:t>
      </w:r>
      <w:r>
        <w:rPr>
          <w:rFonts w:ascii="Times New Roman" w:hAnsi="Times New Roman" w:eastAsia="楷体_GB2312" w:cs="Times New Roman"/>
          <w:sz w:val="32"/>
          <w:szCs w:val="32"/>
        </w:rPr>
        <w:t>建项目。</w:t>
      </w:r>
      <w:r>
        <w:rPr>
          <w:rFonts w:ascii="Times New Roman" w:hAnsi="Times New Roman" w:eastAsia="仿宋_GB2312" w:cs="Times New Roman"/>
          <w:sz w:val="32"/>
          <w:szCs w:val="32"/>
        </w:rPr>
        <w:t>2021年工业重点项目续建项目总计20项，总投资427亿元，当年计划完成投资38亿元。其中海勃湾区2项，乌达区8项，海南区7项，低碳园区3项。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（二）开工20个新建项目。</w:t>
      </w:r>
      <w:r>
        <w:rPr>
          <w:rFonts w:ascii="Times New Roman" w:hAnsi="Times New Roman" w:eastAsia="仿宋_GB2312" w:cs="Times New Roman"/>
          <w:sz w:val="32"/>
          <w:szCs w:val="32"/>
        </w:rPr>
        <w:t>2021年工业重点项目新建项目总计20项，总投资308亿元，当年计划完成投48亿元。其中海勃湾区7项，乌达区4项，海南区6项，低碳园区3项。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（三）突出10个重大项目。</w:t>
      </w:r>
      <w:r>
        <w:rPr>
          <w:rFonts w:ascii="Times New Roman" w:hAnsi="Times New Roman" w:eastAsia="仿宋_GB2312" w:cs="Times New Roman"/>
          <w:sz w:val="32"/>
          <w:szCs w:val="32"/>
        </w:rPr>
        <w:t>按照重点阵地用重兵的思路，突出抓好具有较强拉动力的重大项目的跟踪服务工作，重点抓好建龙包钢H型钢技改项目、京运通产业园项目、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兰泽医药中间体</w:t>
      </w:r>
      <w:r>
        <w:rPr>
          <w:rFonts w:ascii="Times New Roman" w:hAnsi="Times New Roman" w:eastAsia="仿宋_GB2312" w:cs="Times New Roman"/>
          <w:sz w:val="32"/>
          <w:szCs w:val="32"/>
        </w:rPr>
        <w:t>项目、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倍杰特新材料</w:t>
      </w:r>
      <w:r>
        <w:rPr>
          <w:rFonts w:ascii="Times New Roman" w:hAnsi="Times New Roman" w:eastAsia="仿宋_GB2312" w:cs="Times New Roman"/>
          <w:sz w:val="32"/>
          <w:szCs w:val="32"/>
        </w:rPr>
        <w:t>项目、中联化工PVC项目、兴发公司有机硅一体化项目、永太公司医药农药中间体项目、广聚新材料500万吨焦化项目及另外一个500万吨焦化项目和其他300万吨重组整合项目等一批投资大、层次高的重大项目建设，为经济持续发展积聚后劲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三、围绕结构调整，着力抓好经济转型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（一）全力推动焦化产业重组整合升级，做好氯碱产业拓展延链，提升基础产业水平。</w:t>
      </w:r>
      <w:r>
        <w:rPr>
          <w:rFonts w:ascii="Times New Roman" w:hAnsi="Times New Roman" w:eastAsia="仿宋_GB2312" w:cs="Times New Roman"/>
          <w:sz w:val="32"/>
          <w:szCs w:val="32"/>
        </w:rPr>
        <w:t>围绕产业基础高级化、产业链现代化的目标。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全力抓好焦化行业淘汰、重组、升级工作，重点推动广纳及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泰和等整合建设</w:t>
      </w:r>
      <w:r>
        <w:rPr>
          <w:rFonts w:ascii="Times New Roman" w:hAnsi="Times New Roman" w:eastAsia="仿宋_GB2312" w:cs="Times New Roman"/>
          <w:sz w:val="32"/>
          <w:szCs w:val="32"/>
        </w:rPr>
        <w:t>焦化联产项目，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同时</w:t>
      </w:r>
      <w:r>
        <w:rPr>
          <w:rFonts w:ascii="Times New Roman" w:hAnsi="Times New Roman" w:eastAsia="仿宋_GB2312" w:cs="Times New Roman"/>
          <w:sz w:val="32"/>
          <w:szCs w:val="32"/>
        </w:rPr>
        <w:t>推动海勃湾园区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海南园区300万吨以上焦化项目的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重组整合。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加快氯碱产业无汞触媒工艺技术攻关，提高产业链安全稳定水平。同时积极拓展、提升产业链，抓好中联50万吨PVC续建，引进开发糊状PVC、CPVC、PVA、PVB等特种树脂，壮大产业集群。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（二）积极引进建设科技含量高，附加值高的精细化工，医农药中间体原料药等项目。</w:t>
      </w:r>
      <w:r>
        <w:rPr>
          <w:rFonts w:ascii="Times New Roman" w:hAnsi="Times New Roman" w:eastAsia="仿宋_GB2312" w:cs="Times New Roman"/>
          <w:sz w:val="32"/>
          <w:szCs w:val="32"/>
        </w:rPr>
        <w:t>按照产业链向高端迈进、价值链向高端攀升的目标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不断提高产品科技含量和附加值，推动工业产品向高端化、终端化方向转变。推动初级化工产品向农药医药中间体产业项目延伸，加快建设天津中瑞药业乌海分公司医药中间体项目、内蒙古益泽制药医药原料及中间体项目、内蒙古联群化工科技有限公司农药中间体项目、内蒙古德瑞生物科技有限责任公司生物医药项目、内蒙古华程实业有限公司农药中间体项目、浙江永太控股有限公司医药及农药中间体项目等一批重大项目，确保源宏三期、森洋、汇昌、青石、时联、科硕等一批农、医药及中间体项目投产达效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（三）大力发展战略性新兴产业，提高产业链现代化水平。</w:t>
      </w:r>
      <w:r>
        <w:rPr>
          <w:rFonts w:ascii="Times New Roman" w:hAnsi="Times New Roman" w:eastAsia="仿宋_GB2312" w:cs="Times New Roman"/>
          <w:sz w:val="32"/>
          <w:szCs w:val="32"/>
        </w:rPr>
        <w:t>按照优势资源开发转化、现有产业延伸耦合、主导产业衍生配套和承接产业转移等多种路径，积极引进和培育新技术，发展潜力大的新兴产业，推进树脂合成材料、乙炔基合成纤维、沥青基碳纤维和人造石墨烯等化工新材料、硅铝高纯铁新材料、装备制造等战略性新材料产业集群式发展。抓紧恒业成二期、湖北兴发、宝杰新能源、赛思普等新材料项目建设，实施浙江永太、上海创诺等一批精细化工项目，构建多化工耦合发展的新材料产业集群。加快建设宝武炭材料针状焦、京运通新材料产业园、奥立玻璃纤维等项目。培育氢能产业发展链条，鼓励骨干企业以制氢为核心，延伸氢能源产业链条，推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银隆新能源电池、新能源公交车组装线及相关研发应用项目建设，乌海东源科技储氢罐及氢气加注设备项目落地。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（四）加快产业数字化应用改造步伐，提升智能化水平和数字经济发展比重。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完成乌海市产业经济数字化管理平台测试、项目培训和上线运行工作。建立完善数据采集更新制度，推进产业经济监管及企业服务体系建设，健全大数据辅助科学决策和企业治理的机制。完成部分试点企业在线监测，实现实时采集用水、用电等能耗信息。制定《乌海市工业企业高质量发展综合评价实施细则（试行稿）》，推动实施“亩产论英雄”评价机制，以提高资源配置效率为重点，建立差别化政策为核心的分类指导、精准服务机制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推进5G网络通信基础设施建设工作。累计建设完成300个以上5G基站，实现海勃湾城区连续覆盖，乌达和海南主城区覆盖；50个应用于工业互联网的5G基站。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深化“5G+工业互联网”行业应用。推动“5G+智慧矿山”、“5G+智能工厂”、工业园区5G网络覆盖、“5G+设备智能诊断”、“5G+能耗数据采集”、5G智能巡检机器人、原料采购交易与物流运输平台等项目建设，形成“5G+工业互联网”建设改造示范引领效应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四、围绕发展瓶颈，着力抓好要素保障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（一）重视生产要素保障。</w:t>
      </w:r>
      <w:r>
        <w:rPr>
          <w:rFonts w:ascii="Times New Roman" w:hAnsi="Times New Roman" w:eastAsia="仿宋_GB2312" w:cs="Times New Roman"/>
          <w:sz w:val="32"/>
          <w:szCs w:val="32"/>
        </w:rPr>
        <w:t>定期组织召开工业重点项目调度会，协调推进保障土地、水、电、气等要素短缺问题，积极做好挖潜和争取工作，切实在解决项目建设存在的瓶颈问题上取得突破。积极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引导企业注重分析研判，提前谋划，主动应对和克服各类不稳定因素带来的风险。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（二）抓好工业能耗指标的挖潜，置换工作。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制定</w:t>
      </w:r>
      <w:r>
        <w:rPr>
          <w:rFonts w:ascii="Times New Roman" w:hAnsi="Times New Roman" w:eastAsia="仿宋_GB2312" w:cs="Times New Roman"/>
          <w:sz w:val="32"/>
          <w:szCs w:val="32"/>
        </w:rPr>
        <w:t>工业能耗双控应急预案，确保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2021年</w:t>
      </w:r>
      <w:r>
        <w:rPr>
          <w:rFonts w:ascii="Times New Roman" w:hAnsi="Times New Roman" w:eastAsia="仿宋_GB2312" w:cs="Times New Roman"/>
          <w:sz w:val="32"/>
          <w:szCs w:val="32"/>
        </w:rPr>
        <w:t>能耗目标完成，对部分高耗能行业实行总量控制，加快焦炭、电石、铁合金等行业落后产能淘汰力度，按照自治区要求和工作进度，积极引导国家产业结构调整目录中限制类产业有序退出；在焦炭、电石、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铁合金</w:t>
      </w:r>
      <w:r>
        <w:rPr>
          <w:rFonts w:ascii="Times New Roman" w:hAnsi="Times New Roman" w:eastAsia="仿宋_GB2312" w:cs="Times New Roman"/>
          <w:sz w:val="32"/>
          <w:szCs w:val="32"/>
        </w:rPr>
        <w:t>和火电等行业生产环节积极推广节能降耗先进技术。总之，通过限制类产业逐步淘汰，保留类产业达到先进，新建项目业内领先的推动措施，力争在用水、用能、排污、安全等方面取得较大成效。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五、围绕功能完善，着力抓好园区提升</w:t>
      </w:r>
    </w:p>
    <w:p>
      <w:pPr>
        <w:spacing w:line="600" w:lineRule="exact"/>
        <w:ind w:firstLine="643" w:firstLineChars="200"/>
      </w:pPr>
      <w:r>
        <w:rPr>
          <w:rStyle w:val="5"/>
          <w:rFonts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做好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园区基础设施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入库工作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，及时将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接天燃气入园、道路改扩建、污水处理厂及污水管网配套、固废及危废处置场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基础设施项目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纳入自治区储备项目库，做好补贴资金争取工作。</w:t>
      </w:r>
      <w:r>
        <w:rPr>
          <w:rStyle w:val="5"/>
          <w:rFonts w:hint="eastAsia"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做好补助项目调度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按要求调度专项资金补助项目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进度，充分发挥专项资金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撬动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作用，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提高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资金使用效率。</w:t>
      </w:r>
      <w:r>
        <w:rPr>
          <w:rStyle w:val="5"/>
          <w:rFonts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配合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三区政府推进智慧园区</w:t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，及时做好乌达智慧园区试点项目建设调度，积极为其他园区智慧园区项目申请资金补贴。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03766"/>
    <w:rsid w:val="5710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2021-12-24T01:20:00Z</dcterms:created>
  <dc:creator>乌海市工业和信息化局</dc:creator>
  <cp:lastModifiedBy>乌海市工业和信息化局</cp:lastModifiedBy>
  <dcterms:modified xsi:type="dcterms:W3CDTF">2021-12-24T01:21:22Z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