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Times New Roman" w:hAnsi="Times New Roman" w:eastAsia="黑体" w:cs="黑体"/>
          <w:sz w:val="32"/>
          <w:szCs w:val="32"/>
        </w:rPr>
        <w:t>2</w:t>
      </w:r>
      <w:r>
        <w:rPr>
          <w:rFonts w:hint="eastAsia" w:ascii="黑体" w:hAnsi="黑体" w:eastAsia="黑体" w:cs="黑体"/>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80" w:lineRule="exact"/>
        <w:ind w:left="0"/>
        <w:jc w:val="left"/>
        <w:textAlignment w:val="auto"/>
        <w:rPr>
          <w:rFonts w:ascii="Times New Roman" w:hAnsi="Times New Roman" w:eastAsia="仿宋_GB2312"/>
          <w:sz w:val="28"/>
          <w:szCs w:val="28"/>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jc w:val="center"/>
        <w:textAlignment w:val="auto"/>
        <w:rPr>
          <w:rFonts w:ascii="Times New Roman" w:hAnsi="Times New Roman" w:eastAsia="仿宋_GB2312"/>
          <w:sz w:val="44"/>
          <w:szCs w:val="44"/>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jc w:val="center"/>
        <w:textAlignment w:val="auto"/>
        <w:rPr>
          <w:rFonts w:ascii="Times New Roman" w:hAnsi="Times New Roman" w:eastAsia="仿宋_GB2312"/>
          <w:sz w:val="44"/>
          <w:szCs w:val="44"/>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jc w:val="center"/>
        <w:textAlignment w:val="auto"/>
        <w:rPr>
          <w:rFonts w:ascii="Times New Roman" w:hAnsi="Times New Roman" w:eastAsia="仿宋_GB2312"/>
          <w:sz w:val="44"/>
          <w:szCs w:val="44"/>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jc w:val="center"/>
        <w:textAlignment w:val="auto"/>
        <w:rPr>
          <w:rFonts w:ascii="Times New Roman" w:hAnsi="Times New Roman" w:eastAsia="仿宋_GB2312"/>
          <w:sz w:val="44"/>
          <w:szCs w:val="44"/>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jc w:val="center"/>
        <w:textAlignment w:val="auto"/>
        <w:outlineLvl w:val="0"/>
        <w:rPr>
          <w:rFonts w:hint="eastAsia" w:ascii="方正小标宋简体" w:hAnsi="方正小标宋简体" w:eastAsia="方正小标宋简体" w:cs="方正小标宋简体"/>
          <w:sz w:val="44"/>
          <w:szCs w:val="44"/>
        </w:rPr>
      </w:pPr>
      <w:bookmarkStart w:id="31" w:name="_GoBack"/>
      <w:r>
        <w:rPr>
          <w:rFonts w:hint="eastAsia" w:ascii="方正小标宋简体" w:hAnsi="方正小标宋简体" w:eastAsia="方正小标宋简体" w:cs="方正小标宋简体"/>
          <w:sz w:val="44"/>
          <w:szCs w:val="44"/>
        </w:rPr>
        <w:t>工业企业数字化评估诊断工作操作手册</w:t>
      </w:r>
      <w:bookmarkEnd w:id="31"/>
    </w:p>
    <w:p>
      <w:pPr>
        <w:keepNext w:val="0"/>
        <w:keepLines w:val="0"/>
        <w:pageBreakBefore w:val="0"/>
        <w:kinsoku/>
        <w:wordWrap/>
        <w:overflowPunct/>
        <w:topLinePunct w:val="0"/>
        <w:autoSpaceDE/>
        <w:autoSpaceDN/>
        <w:bidi w:val="0"/>
        <w:adjustRightInd/>
        <w:snapToGrid/>
        <w:spacing w:beforeAutospacing="0" w:afterAutospacing="0" w:line="580" w:lineRule="exact"/>
        <w:ind w:left="0"/>
        <w:jc w:val="center"/>
        <w:textAlignment w:val="auto"/>
        <w:rPr>
          <w:rFonts w:ascii="Times New Roman" w:hAnsi="Times New Roman" w:eastAsia="仿宋_GB2312"/>
          <w:sz w:val="48"/>
          <w:szCs w:val="48"/>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jc w:val="center"/>
        <w:textAlignment w:val="auto"/>
        <w:rPr>
          <w:rFonts w:ascii="Times New Roman" w:hAnsi="Times New Roman" w:eastAsia="仿宋_GB2312"/>
          <w:sz w:val="48"/>
          <w:szCs w:val="48"/>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jc w:val="center"/>
        <w:textAlignment w:val="auto"/>
        <w:rPr>
          <w:rFonts w:ascii="Times New Roman" w:hAnsi="Times New Roman" w:eastAsia="仿宋_GB2312"/>
          <w:sz w:val="48"/>
          <w:szCs w:val="48"/>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jc w:val="center"/>
        <w:textAlignment w:val="auto"/>
        <w:rPr>
          <w:rFonts w:ascii="Times New Roman" w:hAnsi="Times New Roman" w:eastAsia="仿宋_GB2312"/>
          <w:sz w:val="48"/>
          <w:szCs w:val="48"/>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jc w:val="center"/>
        <w:textAlignment w:val="auto"/>
        <w:rPr>
          <w:rFonts w:ascii="Times New Roman" w:hAnsi="Times New Roman" w:eastAsia="仿宋_GB2312"/>
          <w:sz w:val="48"/>
          <w:szCs w:val="48"/>
        </w:rPr>
      </w:pPr>
    </w:p>
    <w:p>
      <w:pPr>
        <w:pStyle w:val="2"/>
        <w:keepNext w:val="0"/>
        <w:keepLines w:val="0"/>
        <w:pageBreakBefore w:val="0"/>
        <w:kinsoku/>
        <w:wordWrap/>
        <w:overflowPunct/>
        <w:topLinePunct w:val="0"/>
        <w:autoSpaceDE/>
        <w:autoSpaceDN/>
        <w:bidi w:val="0"/>
        <w:adjustRightInd/>
        <w:snapToGrid/>
        <w:spacing w:beforeAutospacing="0" w:after="0" w:afterAutospacing="0" w:line="580" w:lineRule="exact"/>
        <w:ind w:left="0" w:firstLine="420"/>
        <w:textAlignment w:val="auto"/>
      </w:pPr>
    </w:p>
    <w:p>
      <w:pPr>
        <w:keepNext w:val="0"/>
        <w:keepLines w:val="0"/>
        <w:pageBreakBefore w:val="0"/>
        <w:kinsoku/>
        <w:wordWrap/>
        <w:overflowPunct/>
        <w:topLinePunct w:val="0"/>
        <w:autoSpaceDE/>
        <w:autoSpaceDN/>
        <w:bidi w:val="0"/>
        <w:adjustRightInd/>
        <w:snapToGrid/>
        <w:spacing w:beforeAutospacing="0" w:afterAutospacing="0" w:line="580" w:lineRule="exact"/>
        <w:ind w:left="0"/>
        <w:contextualSpacing/>
        <w:jc w:val="center"/>
        <w:textAlignment w:val="auto"/>
        <w:outlineLvl w:val="0"/>
        <w:rPr>
          <w:rFonts w:hint="eastAsia" w:ascii="楷体_GB2312" w:hAnsi="楷体_GB2312" w:eastAsia="楷体_GB2312" w:cs="楷体_GB2312"/>
          <w:b w:val="0"/>
          <w:bCs w:val="0"/>
          <w:sz w:val="36"/>
          <w:szCs w:val="36"/>
        </w:rPr>
      </w:pPr>
      <w:r>
        <w:rPr>
          <w:rFonts w:hint="eastAsia" w:ascii="楷体_GB2312" w:hAnsi="楷体_GB2312" w:eastAsia="楷体_GB2312" w:cs="楷体_GB2312"/>
          <w:b w:val="0"/>
          <w:bCs w:val="0"/>
          <w:sz w:val="36"/>
          <w:szCs w:val="36"/>
        </w:rPr>
        <w:t>内蒙古自治区工业和信息化厅</w:t>
      </w:r>
    </w:p>
    <w:p>
      <w:pPr>
        <w:keepNext w:val="0"/>
        <w:keepLines w:val="0"/>
        <w:pageBreakBefore w:val="0"/>
        <w:kinsoku/>
        <w:wordWrap/>
        <w:overflowPunct/>
        <w:topLinePunct w:val="0"/>
        <w:autoSpaceDE/>
        <w:autoSpaceDN/>
        <w:bidi w:val="0"/>
        <w:adjustRightInd/>
        <w:snapToGrid/>
        <w:spacing w:beforeAutospacing="0" w:afterAutospacing="0" w:line="580" w:lineRule="exact"/>
        <w:ind w:left="0"/>
        <w:jc w:val="center"/>
        <w:textAlignment w:val="auto"/>
        <w:rPr>
          <w:rFonts w:ascii="Times New Roman" w:hAnsi="Times New Roman" w:eastAsia="仿宋_GB2312" w:cs="黑体"/>
          <w:sz w:val="32"/>
          <w:szCs w:val="32"/>
        </w:rPr>
        <w:sectPr>
          <w:footerReference r:id="rId4" w:type="first"/>
          <w:footerReference r:id="rId3" w:type="default"/>
          <w:pgSz w:w="11906" w:h="16838"/>
          <w:pgMar w:top="2154" w:right="1587" w:bottom="1814" w:left="1587" w:header="851" w:footer="992" w:gutter="0"/>
          <w:pgNumType w:fmt="numberInDash"/>
          <w:cols w:space="425" w:num="1"/>
          <w:docGrid w:type="lines" w:linePitch="312" w:charSpace="0"/>
        </w:sectPr>
      </w:pPr>
      <w:r>
        <w:rPr>
          <w:rFonts w:ascii="Times New Roman" w:hAnsi="Times New Roman" w:eastAsia="仿宋_GB2312"/>
          <w:sz w:val="48"/>
          <w:szCs w:val="48"/>
        </w:rPr>
        <w:br w:type="page"/>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outlineLvl w:val="0"/>
        <w:rPr>
          <w:rFonts w:hint="eastAsia" w:ascii="仿宋_GB2312" w:hAnsi="仿宋_GB2312" w:eastAsia="仿宋_GB2312" w:cs="仿宋_GB2312"/>
          <w:sz w:val="32"/>
          <w:szCs w:val="32"/>
        </w:rPr>
      </w:pPr>
      <w:bookmarkStart w:id="0" w:name="_Toc30236"/>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 xml:space="preserve"> 评估范围</w:t>
      </w:r>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工作流程针对全区所有规模以上工业企业、“专精特新”中小企业、国家级小巨人企业，提出行业企业数字化转型线下评估诊断的工作准则，规定了数字化转型评估诊断工作的组织和流程，明确了具体实施过程的有关要求和具体方法。</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outlineLvl w:val="0"/>
        <w:rPr>
          <w:rFonts w:hint="eastAsia" w:ascii="仿宋_GB2312" w:hAnsi="仿宋_GB2312" w:eastAsia="仿宋_GB2312" w:cs="仿宋_GB2312"/>
          <w:sz w:val="32"/>
          <w:szCs w:val="32"/>
        </w:rPr>
      </w:pPr>
      <w:bookmarkStart w:id="1" w:name="_Toc16515"/>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 xml:space="preserve"> 评估目的</w:t>
      </w:r>
      <w:bookmarkEnd w:id="1"/>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自治区工业企业数字化转型线下评估诊断工作围绕</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个评价方向、</w:t>
      </w:r>
      <w:r>
        <w:rPr>
          <w:rFonts w:hint="eastAsia" w:ascii="Times New Roman" w:hAnsi="Times New Roman" w:eastAsia="仿宋_GB2312" w:cs="仿宋_GB2312"/>
          <w:sz w:val="32"/>
          <w:szCs w:val="32"/>
        </w:rPr>
        <w:t>11</w:t>
      </w:r>
      <w:r>
        <w:rPr>
          <w:rFonts w:hint="eastAsia" w:ascii="仿宋_GB2312" w:hAnsi="仿宋_GB2312" w:eastAsia="仿宋_GB2312" w:cs="仿宋_GB2312"/>
          <w:sz w:val="32"/>
          <w:szCs w:val="32"/>
        </w:rPr>
        <w:t>个细分领域，以</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项关键指标为切入点，量化评价工业企业在研发设计、生产制造、工业设备、集成互联等方面的数字化发展水平（见附件）。通过测算数字化发展重点指标，全面摸清企业数字化转型发展现状及痛点、堵点等问题，进一步提出可行提升方案。</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480" w:firstLineChars="200"/>
        <w:jc w:val="center"/>
        <w:textAlignment w:val="auto"/>
        <w:rPr>
          <w:rFonts w:ascii="黑体" w:hAnsi="黑体" w:eastAsia="黑体"/>
          <w:sz w:val="24"/>
          <w:szCs w:val="24"/>
        </w:rPr>
      </w:pPr>
      <w:r>
        <w:rPr>
          <w:rFonts w:hint="eastAsia" w:ascii="黑体" w:hAnsi="黑体" w:eastAsia="黑体"/>
          <w:sz w:val="24"/>
          <w:szCs w:val="24"/>
        </w:rPr>
        <w:t>表</w:t>
      </w:r>
      <w:r>
        <w:rPr>
          <w:rFonts w:ascii="Times New Roman" w:hAnsi="Times New Roman" w:eastAsia="黑体"/>
          <w:sz w:val="24"/>
          <w:szCs w:val="24"/>
        </w:rPr>
        <w:t>1</w:t>
      </w:r>
      <w:r>
        <w:rPr>
          <w:rFonts w:hint="eastAsia" w:ascii="黑体" w:hAnsi="黑体" w:eastAsia="黑体"/>
          <w:sz w:val="24"/>
          <w:szCs w:val="24"/>
        </w:rPr>
        <w:t>主要评价指标的选取情况及名称</w:t>
      </w:r>
    </w:p>
    <w:tbl>
      <w:tblPr>
        <w:tblStyle w:val="9"/>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4"/>
        <w:gridCol w:w="5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评价方向</w:t>
            </w:r>
          </w:p>
        </w:tc>
        <w:tc>
          <w:tcPr>
            <w:tcW w:w="2114" w:type="dxa"/>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细分领域</w:t>
            </w:r>
          </w:p>
        </w:tc>
        <w:tc>
          <w:tcPr>
            <w:tcW w:w="5299" w:type="dxa"/>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数字化</w:t>
            </w:r>
          </w:p>
        </w:tc>
        <w:tc>
          <w:tcPr>
            <w:tcW w:w="2114"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生产制造</w:t>
            </w:r>
          </w:p>
        </w:tc>
        <w:tc>
          <w:tcPr>
            <w:tcW w:w="52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关键工序数控化率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52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生产设备数字化率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研发设计</w:t>
            </w: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数字化研发设计工具普及率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工业软件</w:t>
            </w: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主要工业软件普及率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经营管理</w:t>
            </w: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经营管理数字化普及率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关键业务环节全面数字化的企业比例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网络化</w:t>
            </w:r>
          </w:p>
        </w:tc>
        <w:tc>
          <w:tcPr>
            <w:tcW w:w="2114"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设备联网</w:t>
            </w: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数字化生产设备联网率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企业工业设备上云率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平台应用</w:t>
            </w: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工业云平台普及率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工业互联网平台普及率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网络协同</w:t>
            </w: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实现管控集成的企业比例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实现产供销集成的企业比例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实现产业链协同的企业比例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智能化</w:t>
            </w:r>
          </w:p>
        </w:tc>
        <w:tc>
          <w:tcPr>
            <w:tcW w:w="2114"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智能生产</w:t>
            </w: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智能制造就绪率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实现智能化产品生产的企业比例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实现智能化生产的企业比例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实现生产经营智能分析的企业比例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智能监测</w:t>
            </w: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实现工控安全关键基础设施建设应用的企业比例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实现数字化数据治理的企业比例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新模式新业态</w:t>
            </w:r>
          </w:p>
        </w:tc>
        <w:tc>
          <w:tcPr>
            <w:tcW w:w="2114"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模式创新</w:t>
            </w: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实现网络化协同的企业比例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开展服务型制造的企业比例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开展个性化定制的企业比例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开展平台化设计的企业比例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p>
        </w:tc>
        <w:tc>
          <w:tcPr>
            <w:tcW w:w="211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电子商务</w:t>
            </w:r>
          </w:p>
        </w:tc>
        <w:tc>
          <w:tcPr>
            <w:tcW w:w="5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应用电子商务的企业比例</w:t>
            </w:r>
          </w:p>
        </w:tc>
      </w:tr>
    </w:tbl>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outlineLvl w:val="0"/>
        <w:rPr>
          <w:rFonts w:hint="eastAsia" w:ascii="仿宋_GB2312" w:hAnsi="仿宋_GB2312" w:eastAsia="仿宋_GB2312" w:cs="仿宋_GB2312"/>
          <w:sz w:val="32"/>
          <w:szCs w:val="32"/>
        </w:rPr>
      </w:pPr>
      <w:bookmarkStart w:id="2" w:name="_Toc10293"/>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 xml:space="preserve"> 评估原则</w:t>
      </w:r>
      <w:bookmarkEnd w:id="2"/>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诊断工作开展过程中，要以价值创造、客观公正、公开透明、合规自律为原则，在符合相关规定与客观事实的前提下，满足企业开展评估诊断工作的总体需求和目标。诊断服务机构进行保密承诺，维护参评企业信息、数据、文件和记录的保密性与安全性。</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outlineLvl w:val="0"/>
        <w:rPr>
          <w:rFonts w:hint="eastAsia" w:ascii="仿宋_GB2312" w:hAnsi="仿宋_GB2312" w:eastAsia="仿宋_GB2312" w:cs="仿宋_GB2312"/>
          <w:sz w:val="32"/>
          <w:szCs w:val="32"/>
        </w:rPr>
      </w:pPr>
      <w:bookmarkStart w:id="3" w:name="_Toc14750"/>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 xml:space="preserve"> 评估程序</w:t>
      </w:r>
      <w:bookmarkEnd w:id="3"/>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1"/>
        <w:rPr>
          <w:rFonts w:hint="eastAsia" w:ascii="仿宋_GB2312" w:hAnsi="仿宋_GB2312" w:eastAsia="仿宋_GB2312" w:cs="仿宋_GB2312"/>
          <w:sz w:val="32"/>
          <w:szCs w:val="32"/>
        </w:rPr>
      </w:pPr>
      <w:bookmarkStart w:id="4" w:name="_Toc5204"/>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 xml:space="preserve"> 成立评估诊断工作组</w:t>
      </w:r>
      <w:bookmarkEnd w:id="4"/>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根据评估企业数量及工作量等实际情况，组织成立评估诊断工作组，并遴选评估工作组成员。工作组成员以具备数字化转型和评估诊断相关工作经验的人员为优先，每组成员数量原则上不少于</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人，由具备实践经验的专家担任组长。</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1"/>
        <w:rPr>
          <w:rFonts w:hint="eastAsia" w:ascii="仿宋_GB2312" w:hAnsi="仿宋_GB2312" w:eastAsia="仿宋_GB2312" w:cs="仿宋_GB2312"/>
          <w:sz w:val="32"/>
          <w:szCs w:val="32"/>
        </w:rPr>
      </w:pPr>
      <w:bookmarkStart w:id="5" w:name="_Toc24077"/>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 xml:space="preserve"> 编制诊断工作计划</w:t>
      </w:r>
      <w:bookmarkEnd w:id="5"/>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评估诊断工作组需制定完善、合理、规范、详细的评估诊断工作计划，包括但不限于评估准备、评估实施、评估总结等阶段的工作任务安排。</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1"/>
        <w:rPr>
          <w:rFonts w:hint="eastAsia" w:ascii="仿宋_GB2312" w:hAnsi="仿宋_GB2312" w:eastAsia="仿宋_GB2312" w:cs="仿宋_GB2312"/>
          <w:sz w:val="32"/>
          <w:szCs w:val="32"/>
        </w:rPr>
      </w:pPr>
      <w:bookmarkStart w:id="6" w:name="_Toc8004"/>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 xml:space="preserve"> 提前告知诊断事项</w:t>
      </w:r>
      <w:bookmarkEnd w:id="6"/>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前请企业填写内蒙古自治区工业企业数字化转型评估诊断申请。请企业依托自治区工信厅通过公开招投标确定的第三方机构，开展线上数字化评估诊断工作。在线下诊断工作正式实施前，预先告知企业需要参加诊断工作的人员名单、需要现场审核的材料信息，以及需要现场查看的设备、生产线、信息系统等。</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1"/>
        <w:rPr>
          <w:rFonts w:hint="eastAsia" w:ascii="仿宋_GB2312" w:hAnsi="仿宋_GB2312" w:eastAsia="仿宋_GB2312" w:cs="仿宋_GB2312"/>
          <w:sz w:val="32"/>
          <w:szCs w:val="32"/>
        </w:rPr>
      </w:pPr>
      <w:bookmarkStart w:id="7" w:name="_Toc15531"/>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 xml:space="preserve"> 实施线下诊断工作</w:t>
      </w:r>
      <w:bookmarkEnd w:id="7"/>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outlineLvl w:val="2"/>
        <w:rPr>
          <w:rFonts w:hint="eastAsia" w:ascii="仿宋_GB2312" w:hAnsi="仿宋_GB2312" w:eastAsia="仿宋_GB2312" w:cs="仿宋_GB2312"/>
          <w:sz w:val="32"/>
          <w:szCs w:val="32"/>
        </w:rPr>
      </w:pPr>
      <w:bookmarkStart w:id="8" w:name="_Toc19651"/>
      <w:bookmarkStart w:id="9" w:name="_Toc111632610"/>
      <w:bookmarkStart w:id="10" w:name="_Toc111632790"/>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 xml:space="preserve"> 诊断工作启动</w:t>
      </w:r>
      <w:bookmarkEnd w:id="8"/>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向企业说明诊断工作背景、目的、意义及计划安排等情况，面向企业全体数字化转型工作相关部门和人员，组织开展宣贯培训。</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outlineLvl w:val="2"/>
        <w:rPr>
          <w:rFonts w:hint="eastAsia" w:ascii="仿宋_GB2312" w:hAnsi="仿宋_GB2312" w:eastAsia="仿宋_GB2312" w:cs="仿宋_GB2312"/>
          <w:sz w:val="32"/>
          <w:szCs w:val="32"/>
        </w:rPr>
      </w:pPr>
      <w:bookmarkStart w:id="11" w:name="_Toc327"/>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 xml:space="preserve"> 企业</w:t>
      </w:r>
      <w:bookmarkEnd w:id="9"/>
      <w:bookmarkEnd w:id="10"/>
      <w:bookmarkEnd w:id="11"/>
      <w:r>
        <w:rPr>
          <w:rFonts w:hint="eastAsia" w:ascii="仿宋_GB2312" w:hAnsi="仿宋_GB2312" w:eastAsia="仿宋_GB2312" w:cs="仿宋_GB2312"/>
          <w:sz w:val="32"/>
          <w:szCs w:val="32"/>
        </w:rPr>
        <w:t>诊断材料收集</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诊断工作组在实施线下评估诊断的过程中，需收集并验证与评估目标、评估范围、评估原则等相关的企业信息和相关证明材料，包括但不限于数字化转型领域的组织、活动和过程等企业信息，并形成企业数字化转型评估诊断记录。</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outlineLvl w:val="2"/>
        <w:rPr>
          <w:rFonts w:hint="eastAsia" w:ascii="仿宋_GB2312" w:hAnsi="仿宋_GB2312" w:eastAsia="仿宋_GB2312" w:cs="仿宋_GB2312"/>
          <w:sz w:val="32"/>
          <w:szCs w:val="32"/>
        </w:rPr>
      </w:pPr>
      <w:bookmarkStart w:id="12" w:name="_Toc111632791"/>
      <w:bookmarkStart w:id="13" w:name="_Toc111632611"/>
      <w:bookmarkStart w:id="14" w:name="_Toc7237"/>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 xml:space="preserve"> 文件资料审核</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评估诊断工作组应对企业提供的证明材料进行审核，记录审核过程并记录，审核内容包括但不限于企业营业执照、企业资质信息、工业设备采购信息、企业线上自评估报告、系统技术应用信息等。</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outlineLvl w:val="2"/>
        <w:rPr>
          <w:rFonts w:hint="eastAsia" w:ascii="仿宋_GB2312" w:hAnsi="仿宋_GB2312" w:eastAsia="仿宋_GB2312" w:cs="仿宋_GB2312"/>
          <w:sz w:val="32"/>
          <w:szCs w:val="32"/>
        </w:rPr>
      </w:pPr>
      <w:bookmarkStart w:id="15" w:name="_Toc103086258"/>
      <w:bookmarkStart w:id="16" w:name="_Toc11487"/>
      <w:bookmarkStart w:id="17" w:name="_Toc111632792"/>
      <w:bookmarkStart w:id="18" w:name="_Toc111632612"/>
      <w:bookmarkStart w:id="19" w:name="_Toc110865229"/>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 xml:space="preserve"> 现场调研</w:t>
      </w:r>
      <w:bookmarkEnd w:id="15"/>
      <w:r>
        <w:rPr>
          <w:rFonts w:hint="eastAsia" w:ascii="仿宋_GB2312" w:hAnsi="仿宋_GB2312" w:eastAsia="仿宋_GB2312" w:cs="仿宋_GB2312"/>
          <w:sz w:val="32"/>
          <w:szCs w:val="32"/>
        </w:rPr>
        <w:t>验证</w:t>
      </w:r>
      <w:bookmarkEnd w:id="16"/>
      <w:bookmarkEnd w:id="17"/>
      <w:bookmarkEnd w:id="18"/>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针对评估目的中涉及的</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项关键指标，基于人员访谈与材料审核等有关情况，现场调研验证设备设施、生产线、仓储物流、软件系统等生产与管理的现场情况。</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outlineLvl w:val="2"/>
        <w:rPr>
          <w:rFonts w:hint="eastAsia" w:ascii="仿宋_GB2312" w:hAnsi="仿宋_GB2312" w:eastAsia="仿宋_GB2312" w:cs="仿宋_GB2312"/>
          <w:sz w:val="32"/>
          <w:szCs w:val="32"/>
        </w:rPr>
      </w:pPr>
      <w:bookmarkStart w:id="20" w:name="_Toc29890"/>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 xml:space="preserve"> 诊断工作结束</w:t>
      </w:r>
      <w:bookmarkEnd w:id="20"/>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组织召开末次会议，向企业总结说明此次诊断工作的完成情况、发现的问题以及针对问题的解决方案建议等，正式结束线下评估诊断工作，完成启动会签到、拍照等节点记录工作。</w:t>
      </w:r>
    </w:p>
    <w:bookmarkEnd w:id="19"/>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1"/>
        <w:rPr>
          <w:rFonts w:hint="eastAsia" w:ascii="仿宋_GB2312" w:hAnsi="仿宋_GB2312" w:eastAsia="仿宋_GB2312" w:cs="仿宋_GB2312"/>
          <w:sz w:val="32"/>
          <w:szCs w:val="32"/>
        </w:rPr>
      </w:pPr>
      <w:bookmarkStart w:id="21" w:name="_Toc24572"/>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 xml:space="preserve"> 形成评估报告</w:t>
      </w:r>
      <w:bookmarkEnd w:id="21"/>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评估诊断工作组完成以上评估诊断工作后，按照诊断报告编制要求及框架模板，为企业编制数字化转型线下评估诊断报告。</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1"/>
        <w:rPr>
          <w:rFonts w:hint="eastAsia" w:ascii="仿宋_GB2312" w:hAnsi="仿宋_GB2312" w:eastAsia="仿宋_GB2312" w:cs="仿宋_GB2312"/>
          <w:sz w:val="32"/>
          <w:szCs w:val="32"/>
        </w:rPr>
      </w:pPr>
      <w:bookmarkStart w:id="22" w:name="_Toc1790"/>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 xml:space="preserve"> 满意度评价</w:t>
      </w:r>
      <w:bookmarkEnd w:id="22"/>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参评企业在收到服务机构提供的线下评估诊断报告后，需完成诊断机构服务满意度调查。</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outlineLvl w:val="0"/>
        <w:rPr>
          <w:rFonts w:hint="eastAsia" w:ascii="仿宋_GB2312" w:hAnsi="仿宋_GB2312" w:eastAsia="仿宋_GB2312" w:cs="仿宋_GB2312"/>
          <w:sz w:val="32"/>
          <w:szCs w:val="32"/>
        </w:rPr>
      </w:pPr>
      <w:bookmarkStart w:id="23" w:name="_Toc6363"/>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 xml:space="preserve"> 工作要求</w:t>
      </w:r>
      <w:bookmarkEnd w:id="23"/>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1"/>
        <w:rPr>
          <w:rFonts w:hint="eastAsia" w:ascii="仿宋_GB2312" w:hAnsi="仿宋_GB2312" w:eastAsia="仿宋_GB2312" w:cs="仿宋_GB2312"/>
          <w:sz w:val="32"/>
          <w:szCs w:val="32"/>
        </w:rPr>
      </w:pPr>
      <w:bookmarkStart w:id="24" w:name="_Toc10827"/>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 xml:space="preserve"> 工作考核机制</w:t>
      </w:r>
      <w:bookmarkEnd w:id="24"/>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评估诊断工作组在完成诊断服务后，需将诊断服务相关图片及文字材料提交至各盟市工信局，诊断过程中需定期汇报诊断工作进展情况。</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1"/>
        <w:rPr>
          <w:rFonts w:hint="eastAsia" w:ascii="仿宋_GB2312" w:hAnsi="仿宋_GB2312" w:eastAsia="仿宋_GB2312" w:cs="仿宋_GB2312"/>
          <w:sz w:val="32"/>
          <w:szCs w:val="32"/>
        </w:rPr>
      </w:pPr>
      <w:bookmarkStart w:id="25" w:name="_Toc19926"/>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 xml:space="preserve"> 诊断时间要求</w:t>
      </w:r>
      <w:bookmarkEnd w:id="25"/>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评估诊断工作组赴企业现场诊断时间不少于</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天。</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1"/>
        <w:rPr>
          <w:rFonts w:hint="eastAsia" w:ascii="仿宋_GB2312" w:hAnsi="仿宋_GB2312" w:eastAsia="仿宋_GB2312" w:cs="仿宋_GB2312"/>
          <w:sz w:val="32"/>
          <w:szCs w:val="32"/>
        </w:rPr>
      </w:pPr>
      <w:bookmarkStart w:id="26" w:name="_Toc5326"/>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 xml:space="preserve"> 企业专题培训</w:t>
      </w:r>
      <w:bookmarkEnd w:id="26"/>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评估诊断工作组应面向企业提供数字化转型相关主题培训不少于</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次，并做好培训工作相关记录。</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1"/>
        <w:rPr>
          <w:rFonts w:hint="eastAsia" w:ascii="仿宋_GB2312" w:hAnsi="仿宋_GB2312" w:eastAsia="仿宋_GB2312" w:cs="仿宋_GB2312"/>
          <w:sz w:val="32"/>
          <w:szCs w:val="32"/>
        </w:rPr>
      </w:pPr>
      <w:bookmarkStart w:id="27" w:name="_Toc16264"/>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 xml:space="preserve"> 诊断情况汇报</w:t>
      </w:r>
      <w:bookmarkEnd w:id="27"/>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评估诊断工作组应向参评企业主要负责人提供不少于</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次的情况汇报，并做好汇报工作相关记录，汇报内容包括尽职调查情况、诊断报告详解等。</w:t>
      </w:r>
    </w:p>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bookmarkStart w:id="28" w:name="_Toc111632801"/>
      <w:r>
        <w:rPr>
          <w:rFonts w:hint="eastAsia" w:ascii="仿宋_GB2312" w:hAnsi="仿宋_GB2312" w:eastAsia="仿宋_GB2312" w:cs="仿宋_GB2312"/>
          <w:sz w:val="32"/>
          <w:szCs w:val="32"/>
        </w:rPr>
        <w:t>附件：</w:t>
      </w:r>
      <w:bookmarkEnd w:id="28"/>
      <w:r>
        <w:rPr>
          <w:rFonts w:hint="eastAsia" w:ascii="仿宋_GB2312" w:hAnsi="仿宋_GB2312" w:eastAsia="仿宋_GB2312" w:cs="仿宋_GB2312"/>
          <w:sz w:val="32"/>
          <w:szCs w:val="32"/>
        </w:rPr>
        <w:t>自治区数字化评估诊断关键指标设置情况</w:t>
      </w:r>
    </w:p>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ascii="Times New Roman" w:hAnsi="Times New Roman" w:eastAsia="黑体"/>
          <w:sz w:val="32"/>
          <w:szCs w:val="32"/>
        </w:rPr>
      </w:pPr>
    </w:p>
    <w:p>
      <w:pPr>
        <w:pStyle w:val="2"/>
        <w:sectPr>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jc w:val="lef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ascii="黑体" w:hAnsi="黑体" w:eastAsia="黑体" w:cs="黑体"/>
          <w:b/>
          <w:bCs/>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jc w:val="center"/>
        <w:textAlignment w:val="auto"/>
        <w:outlineLvl w:val="0"/>
        <w:rPr>
          <w:rFonts w:hint="eastAsia" w:ascii="方正小标宋简体" w:hAnsi="方正小标宋简体" w:eastAsia="方正小标宋简体" w:cs="方正小标宋简体"/>
          <w:b w:val="0"/>
          <w:bCs w:val="0"/>
          <w:sz w:val="44"/>
          <w:szCs w:val="44"/>
        </w:rPr>
      </w:pPr>
      <w:bookmarkStart w:id="29" w:name="_Toc17192"/>
      <w:r>
        <w:rPr>
          <w:rFonts w:hint="eastAsia" w:ascii="方正小标宋简体" w:hAnsi="方正小标宋简体" w:eastAsia="方正小标宋简体" w:cs="方正小标宋简体"/>
          <w:b w:val="0"/>
          <w:bCs w:val="0"/>
          <w:sz w:val="44"/>
          <w:szCs w:val="44"/>
        </w:rPr>
        <w:t>自治区数字化评估诊断关键指标设置情况</w:t>
      </w:r>
      <w:bookmarkEnd w:id="29"/>
    </w:p>
    <w:p>
      <w:pPr>
        <w:keepNext w:val="0"/>
        <w:keepLines w:val="0"/>
        <w:pageBreakBefore w:val="0"/>
        <w:kinsoku/>
        <w:wordWrap/>
        <w:overflowPunct/>
        <w:topLinePunct w:val="0"/>
        <w:autoSpaceDE/>
        <w:autoSpaceDN/>
        <w:bidi w:val="0"/>
        <w:adjustRightInd/>
        <w:snapToGrid/>
        <w:spacing w:beforeAutospacing="0" w:afterAutospacing="0" w:line="580" w:lineRule="exact"/>
        <w:ind w:left="0"/>
        <w:jc w:val="center"/>
        <w:textAlignment w:val="auto"/>
        <w:rPr>
          <w:rFonts w:ascii="Times New Roman" w:hAnsi="Times New Roman" w:eastAsia="黑体"/>
          <w:sz w:val="36"/>
          <w:szCs w:val="36"/>
        </w:r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黑体" w:eastAsia="黑体"/>
          <w:kern w:val="0"/>
          <w:sz w:val="32"/>
          <w:szCs w:val="32"/>
        </w:rPr>
      </w:pPr>
      <w:r>
        <w:rPr>
          <w:rFonts w:ascii="Times New Roman" w:hAnsi="黑体" w:eastAsia="黑体"/>
          <w:kern w:val="0"/>
          <w:sz w:val="32"/>
          <w:szCs w:val="32"/>
        </w:rPr>
        <w:t>一、关键工序数控化率</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键工序数控化率是指规上工业企业关键工序数控化率均值。流程行业关键工序数控化率是指关键工序中过程控制系统（例如PLC、DCS、PCS等）的覆盖率；离散行业关键工序数控化率是指关键工序中数控系统（例如NC、DNC、CNC、FMC等）的覆盖率。</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黑体" w:eastAsia="黑体"/>
          <w:kern w:val="0"/>
          <w:sz w:val="32"/>
          <w:szCs w:val="32"/>
        </w:rPr>
      </w:pPr>
      <w:r>
        <w:rPr>
          <w:rFonts w:ascii="Times New Roman" w:hAnsi="黑体" w:eastAsia="黑体"/>
          <w:kern w:val="0"/>
          <w:sz w:val="32"/>
          <w:szCs w:val="32"/>
        </w:rPr>
        <w:t>二、数字化研发设计工具普及率</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数字化研发设计工具普及率是指应用数字化研发工具的规上工业企业占全部规上工业企业比例。目前所统计的数字化研发设计工具是指辅助企业开展产品设计，实现数字化建模、仿真、验证等功能的软件工具。</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黑体" w:eastAsia="黑体"/>
          <w:kern w:val="0"/>
          <w:sz w:val="32"/>
          <w:szCs w:val="32"/>
        </w:rPr>
      </w:pPr>
      <w:r>
        <w:rPr>
          <w:rFonts w:ascii="Times New Roman" w:hAnsi="黑体" w:eastAsia="黑体"/>
          <w:kern w:val="0"/>
          <w:sz w:val="32"/>
          <w:szCs w:val="32"/>
        </w:rPr>
        <w:t>三、经营管理数字化普及率</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经营管理数字化普及率是指实现了信息技术与企业经营各个重点业务环节全面融合应用的企业比例。目前所统计的经营管理环节包括企业采购、销售、财务、人力、办公等关键经营环节。</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黑体" w:eastAsia="黑体"/>
          <w:kern w:val="0"/>
          <w:sz w:val="32"/>
          <w:szCs w:val="32"/>
        </w:rPr>
      </w:pPr>
      <w:r>
        <w:rPr>
          <w:rFonts w:hint="eastAsia" w:ascii="Times New Roman" w:hAnsi="黑体" w:eastAsia="黑体"/>
          <w:kern w:val="0"/>
          <w:sz w:val="32"/>
          <w:szCs w:val="32"/>
        </w:rPr>
        <w:t>四</w:t>
      </w:r>
      <w:r>
        <w:rPr>
          <w:rFonts w:ascii="Times New Roman" w:hAnsi="黑体" w:eastAsia="黑体"/>
          <w:kern w:val="0"/>
          <w:sz w:val="32"/>
          <w:szCs w:val="32"/>
        </w:rPr>
        <w:t>、生产设备数字化率</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设备数字化率是指规上工业企业数字化生产设备数量占生产设备总数量的比例均值，目前所统计的数字化生产设备对于流程行业包括单体设备中具备自动信息采集功能的设备；对于离散行业包括数控机床、数控加工中心、工业机器人、带数据接口的机电一体化设备等。</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黑体" w:eastAsia="黑体"/>
          <w:kern w:val="0"/>
          <w:sz w:val="32"/>
          <w:szCs w:val="32"/>
        </w:rPr>
      </w:pPr>
      <w:r>
        <w:rPr>
          <w:rFonts w:hint="eastAsia" w:ascii="Times New Roman" w:hAnsi="黑体" w:eastAsia="黑体"/>
          <w:kern w:val="0"/>
          <w:sz w:val="32"/>
          <w:szCs w:val="32"/>
        </w:rPr>
        <w:t>五</w:t>
      </w:r>
      <w:r>
        <w:rPr>
          <w:rFonts w:ascii="Times New Roman" w:hAnsi="黑体" w:eastAsia="黑体"/>
          <w:kern w:val="0"/>
          <w:sz w:val="32"/>
          <w:szCs w:val="32"/>
        </w:rPr>
        <w:t>、数字化生产设备联网率</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数字化生产设备联网率是指已联网的数字化生产设备数量占全部数字化生产设备总数量的比例。目前所统计的已联网的数字化生产设备包括能与控制系统进行数据交换的数字化生产设备。</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eastAsia="黑体"/>
          <w:sz w:val="32"/>
          <w:szCs w:val="32"/>
        </w:rPr>
      </w:pPr>
      <w:r>
        <w:rPr>
          <w:rFonts w:hint="eastAsia" w:ascii="Times New Roman" w:hAnsi="Times New Roman" w:eastAsia="黑体"/>
          <w:sz w:val="32"/>
          <w:szCs w:val="32"/>
        </w:rPr>
        <w:t>六</w:t>
      </w:r>
      <w:r>
        <w:rPr>
          <w:rFonts w:eastAsia="黑体"/>
          <w:sz w:val="32"/>
          <w:szCs w:val="32"/>
        </w:rPr>
        <w:t>、工业云平台普及率</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云平台普及率是指应用了工业云平台的规上工业企业占全部规上工业企业的比例。目前所统计的工业云平台包括公有云、私有云。其中，公有云指第三方服务商为企业提供的云资源及服务，私有云指企业专有并独立使用的云资源及服务。</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w:t>
      </w:r>
      <w:r>
        <w:rPr>
          <w:rFonts w:hint="eastAsia" w:ascii="Times New Roman" w:hAnsi="Times New Roman" w:eastAsia="黑体"/>
          <w:sz w:val="32"/>
          <w:szCs w:val="32"/>
        </w:rPr>
        <w:t>主要工业软件</w:t>
      </w:r>
      <w:r>
        <w:rPr>
          <w:rFonts w:ascii="Times New Roman" w:hAnsi="Times New Roman" w:eastAsia="黑体"/>
          <w:sz w:val="32"/>
          <w:szCs w:val="32"/>
        </w:rPr>
        <w:t>普及率</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主要工业软件普及率是指应用了PLM、MES、ERP等产品研发类、生产管控类、经营管理类工业软件的规上工业企业占全部规上工业企业的比例。</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八</w:t>
      </w:r>
      <w:r>
        <w:rPr>
          <w:rFonts w:ascii="Times New Roman" w:hAnsi="Times New Roman" w:eastAsia="黑体"/>
          <w:sz w:val="32"/>
          <w:szCs w:val="32"/>
        </w:rPr>
        <w:t>、实现产供销集成的企业比例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产供销集成的企业比例是指利用信息系统集成实现内部供应链的物料采购、原料和产成品库、生产制造、产品销售等环节的业务集成运作，并能够与财务管理进行无缝衔接（从业务系统中自动获得数据，数据不经过人工录入）的企业比例。</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九</w:t>
      </w:r>
      <w:r>
        <w:rPr>
          <w:rFonts w:ascii="Times New Roman" w:hAnsi="Times New Roman" w:eastAsia="黑体"/>
          <w:sz w:val="32"/>
          <w:szCs w:val="32"/>
        </w:rPr>
        <w:t>、实现产业链协同的企业比例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实现产业链协同的企业比例是指利用信息系统实现自身与其产业链上下游企业间在研发、采购、生产、销售、财务等关键业务协同运作的企业比例。</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ascii="Times New Roman" w:hAnsi="Times New Roman" w:eastAsia="黑体"/>
          <w:sz w:val="32"/>
          <w:szCs w:val="32"/>
        </w:rPr>
        <w:t>十、</w:t>
      </w:r>
      <w:bookmarkStart w:id="30" w:name="_Hlk106484072"/>
      <w:r>
        <w:rPr>
          <w:rFonts w:ascii="Times New Roman" w:hAnsi="Times New Roman" w:eastAsia="黑体"/>
          <w:sz w:val="32"/>
          <w:szCs w:val="32"/>
        </w:rPr>
        <w:t>应用电子商务的企业比例</w:t>
      </w:r>
      <w:bookmarkEnd w:id="30"/>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用电子商务的企业比例是指应用电子商务的规上工业企业占全部规上工业企业的比例。目前所统计的工业电子商务是指产品服务的采购或销售订单是在网络上完成的，支付和产品服务的交割可以“在线”或者“离线”完成，其中订单在网络上完成不包括通过电话、传真或者传统e-mail进行的订单收发活动。</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eastAsia="黑体"/>
          <w:sz w:val="32"/>
          <w:szCs w:val="32"/>
        </w:rPr>
      </w:pPr>
      <w:r>
        <w:rPr>
          <w:rFonts w:ascii="Times New Roman" w:hAnsi="Times New Roman" w:eastAsia="黑体"/>
          <w:sz w:val="32"/>
          <w:szCs w:val="32"/>
        </w:rPr>
        <w:t>十</w:t>
      </w:r>
      <w:r>
        <w:rPr>
          <w:rFonts w:hint="eastAsia" w:ascii="Times New Roman" w:hAnsi="Times New Roman" w:eastAsia="黑体"/>
          <w:sz w:val="32"/>
          <w:szCs w:val="32"/>
        </w:rPr>
        <w:t>一</w:t>
      </w:r>
      <w:r>
        <w:rPr>
          <w:rFonts w:ascii="Times New Roman" w:hAnsi="Times New Roman" w:eastAsia="黑体"/>
          <w:sz w:val="32"/>
          <w:szCs w:val="32"/>
        </w:rPr>
        <w:t>、</w:t>
      </w:r>
      <w:r>
        <w:rPr>
          <w:rFonts w:eastAsia="黑体"/>
          <w:sz w:val="32"/>
          <w:szCs w:val="32"/>
        </w:rPr>
        <w:t>智能制造就绪率</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智能制造就绪率是指初步具备智能制造基础条件的规上工业企业占全部规上工业企业的比例，目前所统计的智能制造就绪包括关键工序数控化率达到</w:t>
      </w:r>
      <w:r>
        <w:rPr>
          <w:rFonts w:hint="eastAsia" w:ascii="Times New Roman" w:hAnsi="Times New Roman" w:eastAsia="仿宋_GB2312" w:cs="仿宋_GB2312"/>
          <w:sz w:val="32"/>
          <w:szCs w:val="32"/>
        </w:rPr>
        <w:t>50</w:t>
      </w:r>
      <w:r>
        <w:rPr>
          <w:rFonts w:hint="eastAsia" w:ascii="仿宋_GB2312" w:hAnsi="仿宋_GB2312" w:eastAsia="仿宋_GB2312" w:cs="仿宋_GB2312"/>
          <w:sz w:val="32"/>
          <w:szCs w:val="32"/>
        </w:rPr>
        <w:t>%，且管控集成和产供销集成已基本实现。以上企业底层装备数控化程度高，管理信息化与底层自动化之间以及内部供应链上采购、生产、销售、库存、财务等环节间实现了集成，已开始向智能工厂、智慧企业迈进。</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十二</w:t>
      </w:r>
      <w:r>
        <w:rPr>
          <w:rFonts w:ascii="Times New Roman" w:hAnsi="Times New Roman" w:eastAsia="黑体"/>
          <w:sz w:val="32"/>
          <w:szCs w:val="32"/>
        </w:rPr>
        <w:t>、关键业务环节全面数字化的企业比例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关键业务环节全面数字化的企业比例是指实现了信息技术与企业研发、生产、经营各个重点业务环节全面融合应用的企业比例。其中，经营环节包括企业采购、销售、财务、人力、办公等。</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十三</w:t>
      </w:r>
      <w:r>
        <w:rPr>
          <w:rFonts w:ascii="Times New Roman" w:hAnsi="Times New Roman" w:eastAsia="黑体"/>
          <w:sz w:val="32"/>
          <w:szCs w:val="32"/>
        </w:rPr>
        <w:t>、企业工业设备上云率</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企业工业设备上云率是指能够实现工业设备与工业互联网平台边缘端或云端连接并进行数据交换的企业比例。目前统计的上云设备主要包括高耗能设备、通用动力设备、新能源设备、智能化设备等重点设备。</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十四</w:t>
      </w:r>
      <w:r>
        <w:rPr>
          <w:rFonts w:ascii="Times New Roman" w:hAnsi="Times New Roman" w:eastAsia="黑体"/>
          <w:sz w:val="32"/>
          <w:szCs w:val="32"/>
        </w:rPr>
        <w:t>、工业互联网平台普及率</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工业互联网平台普及率是指有效应用工业互联网平台开展生产方式优化与组织形态变革，并实现核心竞争能力提升的企业比例。</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ascii="Times New Roman" w:hAnsi="Times New Roman" w:eastAsia="黑体"/>
          <w:sz w:val="32"/>
          <w:szCs w:val="32"/>
        </w:rPr>
        <w:t>十</w:t>
      </w:r>
      <w:r>
        <w:rPr>
          <w:rFonts w:hint="eastAsia" w:ascii="Times New Roman" w:hAnsi="Times New Roman" w:eastAsia="黑体"/>
          <w:sz w:val="32"/>
          <w:szCs w:val="32"/>
        </w:rPr>
        <w:t>五</w:t>
      </w:r>
      <w:r>
        <w:rPr>
          <w:rFonts w:ascii="Times New Roman" w:hAnsi="Times New Roman" w:eastAsia="黑体"/>
          <w:sz w:val="32"/>
          <w:szCs w:val="32"/>
        </w:rPr>
        <w:t>、实现管控集成的企业比例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管控集成的企业比例是指利用信息系统集成实现生产管理（计划层）、车间生产制造执行（执行层）、生产制造过程控制（控制层）之间的信息上传、指令下达等无缝衔接（从业务系统中自动获得数据，数据不经过人工录入）和业务集成的企业比例。</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十六</w:t>
      </w:r>
      <w:r>
        <w:rPr>
          <w:rFonts w:ascii="Times New Roman" w:hAnsi="Times New Roman" w:eastAsia="黑体"/>
          <w:sz w:val="32"/>
          <w:szCs w:val="32"/>
        </w:rPr>
        <w:t>、实现网络化协同的企业比例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实现网络化协同的企业比例是指实现网络化协同的规上离散制造企业占全部规上离散制造企业的比例。目前所统计网络化协同类型包括跨企业的网络化产品协同设计、跨企业的网络化生产制造等。</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十七</w:t>
      </w:r>
      <w:r>
        <w:rPr>
          <w:rFonts w:ascii="Times New Roman" w:hAnsi="Times New Roman" w:eastAsia="黑体"/>
          <w:sz w:val="32"/>
          <w:szCs w:val="32"/>
        </w:rPr>
        <w:t>、开展服务型制造的企业比例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开展服务型制造的企业比例是指开展服务型制造的规上离散制造企业占全部规上离散制造企业的比例。目前所统计服务型制造类型包括远程在线服务、网络化精准营销、基于智能终端提供创新服务等。</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十八</w:t>
      </w:r>
      <w:r>
        <w:rPr>
          <w:rFonts w:ascii="Times New Roman" w:hAnsi="Times New Roman" w:eastAsia="黑体"/>
          <w:sz w:val="32"/>
          <w:szCs w:val="32"/>
        </w:rPr>
        <w:t>、开展个性化定制的企业比例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开展个性化定制的企业比例是指开展个性化定制的规上离散制造企业占全部规上离散制造企业的比例。</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十九</w:t>
      </w:r>
      <w:r>
        <w:rPr>
          <w:rFonts w:ascii="Times New Roman" w:hAnsi="Times New Roman" w:eastAsia="黑体"/>
          <w:sz w:val="32"/>
          <w:szCs w:val="32"/>
        </w:rPr>
        <w:t>、</w:t>
      </w:r>
      <w:r>
        <w:rPr>
          <w:rFonts w:hint="eastAsia" w:ascii="Times New Roman" w:hAnsi="Times New Roman" w:eastAsia="黑体"/>
          <w:sz w:val="32"/>
          <w:szCs w:val="32"/>
        </w:rPr>
        <w:t>实现智能化产品生产的企业比例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实现智能化产品生产的企业比例是指开展智能化产品生产的规上离散制造企业占全部规上离散制造企业的比例。其中，开智能化产品是指融入了人工智能、</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G、先进传感等智能技术的产品，例如工业级智能硬件、智能机器人、智能网联汽车、智能船舶、无人机、智能可穿戴设备、智能家居等。</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二十</w:t>
      </w:r>
      <w:r>
        <w:rPr>
          <w:rFonts w:ascii="Times New Roman" w:hAnsi="Times New Roman" w:eastAsia="黑体"/>
          <w:sz w:val="32"/>
          <w:szCs w:val="32"/>
        </w:rPr>
        <w:t>、</w:t>
      </w:r>
      <w:r>
        <w:rPr>
          <w:rFonts w:hint="eastAsia" w:ascii="Times New Roman" w:hAnsi="Times New Roman" w:eastAsia="黑体"/>
          <w:sz w:val="32"/>
          <w:szCs w:val="32"/>
        </w:rPr>
        <w:t>实现智能化生产的企业比例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实现智能化生产的企业比例是指实现生产管理互联互通，且能应用人工智能等技术进行智能化生产的企业占全部样本企业的比例。</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二十一</w:t>
      </w:r>
      <w:r>
        <w:rPr>
          <w:rFonts w:ascii="Times New Roman" w:hAnsi="Times New Roman" w:eastAsia="黑体"/>
          <w:sz w:val="32"/>
          <w:szCs w:val="32"/>
        </w:rPr>
        <w:t>、</w:t>
      </w:r>
      <w:r>
        <w:rPr>
          <w:rFonts w:hint="eastAsia" w:ascii="Times New Roman" w:hAnsi="Times New Roman" w:eastAsia="黑体"/>
          <w:sz w:val="32"/>
          <w:szCs w:val="32"/>
        </w:rPr>
        <w:t>实现生产经营智能分析的企业比例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实现生产经营智能分析的企业比例是指基于智能知识模型自动采集生产经营相关信息，并在生产流程优化、销售预测与需求管理等多场景开展大数据应用的企业占全部样本企业的比例。</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二十二</w:t>
      </w:r>
      <w:r>
        <w:rPr>
          <w:rFonts w:ascii="Times New Roman" w:hAnsi="Times New Roman" w:eastAsia="黑体"/>
          <w:sz w:val="32"/>
          <w:szCs w:val="32"/>
        </w:rPr>
        <w:t>、</w:t>
      </w:r>
      <w:r>
        <w:rPr>
          <w:rFonts w:hint="eastAsia" w:ascii="Times New Roman" w:hAnsi="Times New Roman" w:eastAsia="黑体"/>
          <w:sz w:val="32"/>
          <w:szCs w:val="32"/>
        </w:rPr>
        <w:t>实现平台化设计的企业比例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实现平台化设计的企业比例是指应用云平台且应用设计服务（DaaS）的企业占全部样本企业的比例。</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二十三</w:t>
      </w:r>
      <w:r>
        <w:rPr>
          <w:rFonts w:ascii="Times New Roman" w:hAnsi="Times New Roman" w:eastAsia="黑体"/>
          <w:sz w:val="32"/>
          <w:szCs w:val="32"/>
        </w:rPr>
        <w:t>、</w:t>
      </w:r>
      <w:r>
        <w:rPr>
          <w:rFonts w:hint="eastAsia" w:ascii="Times New Roman" w:hAnsi="Times New Roman" w:eastAsia="黑体"/>
          <w:sz w:val="32"/>
          <w:szCs w:val="32"/>
        </w:rPr>
        <w:t>实现工控安全关键基础设施建设应用的企业比例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工控安全关键基础设施建设应用的企业比例是指应用分布式控制系统（DCS）、可编程控制器（PLC）、数据采集与监控（SCADA）等软件系统，实现对工控安全关键数据信息自动监测、采集与分析的工业企业占全部工业企业的比例。</w:t>
      </w:r>
    </w:p>
    <w:p>
      <w:pPr>
        <w:keepNext w:val="0"/>
        <w:keepLines w:val="0"/>
        <w:pageBreakBefore w:val="0"/>
        <w:kinsoku/>
        <w:wordWrap/>
        <w:overflowPunct/>
        <w:topLinePunct w:val="0"/>
        <w:autoSpaceDE/>
        <w:autoSpaceDN/>
        <w:bidi w:val="0"/>
        <w:adjustRightInd/>
        <w:snapToGrid/>
        <w:spacing w:beforeAutospacing="0" w:afterAutospacing="0" w:line="580" w:lineRule="exact"/>
        <w:ind w:left="0" w:firstLine="640" w:firstLineChars="200"/>
        <w:textAlignment w:val="auto"/>
        <w:outlineLvl w:val="0"/>
        <w:rPr>
          <w:rFonts w:ascii="Times New Roman" w:hAnsi="Times New Roman" w:eastAsia="黑体"/>
          <w:sz w:val="32"/>
          <w:szCs w:val="32"/>
        </w:rPr>
      </w:pPr>
      <w:r>
        <w:rPr>
          <w:rFonts w:hint="eastAsia" w:ascii="Times New Roman" w:hAnsi="Times New Roman" w:eastAsia="黑体"/>
          <w:sz w:val="32"/>
          <w:szCs w:val="32"/>
        </w:rPr>
        <w:t>二十四</w:t>
      </w:r>
      <w:r>
        <w:rPr>
          <w:rFonts w:ascii="Times New Roman" w:hAnsi="Times New Roman" w:eastAsia="黑体"/>
          <w:sz w:val="32"/>
          <w:szCs w:val="32"/>
        </w:rPr>
        <w:t>、</w:t>
      </w:r>
      <w:r>
        <w:rPr>
          <w:rFonts w:hint="eastAsia" w:ascii="Times New Roman" w:hAnsi="Times New Roman" w:eastAsia="黑体"/>
          <w:sz w:val="32"/>
          <w:szCs w:val="32"/>
        </w:rPr>
        <w:t>实现数字化数据治理的企业比例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实现数字化数据治理的企业比例是指能够综合利用数字化手段对研发、生产、管理等各业务环节大数据资源进行采集、传输、存储、积累、安全管理和价值挖掘的工业企业占全部工业企业的比例。</w:t>
      </w:r>
    </w:p>
    <w:p>
      <w:pPr>
        <w:pStyle w:val="2"/>
        <w:keepNext w:val="0"/>
        <w:keepLines w:val="0"/>
        <w:pageBreakBefore w:val="0"/>
        <w:kinsoku/>
        <w:wordWrap/>
        <w:overflowPunct/>
        <w:topLinePunct w:val="0"/>
        <w:autoSpaceDE/>
        <w:autoSpaceDN/>
        <w:bidi w:val="0"/>
        <w:adjustRightInd/>
        <w:snapToGrid/>
        <w:spacing w:beforeAutospacing="0" w:after="0" w:afterAutospacing="0" w:line="580" w:lineRule="exact"/>
        <w:ind w:left="0" w:firstLine="0" w:firstLineChars="0"/>
        <w:textAlignment w:val="auto"/>
        <w:rPr>
          <w:rFonts w:ascii="黑体" w:hAnsi="黑体" w:eastAsia="黑体" w:cs="黑体"/>
          <w:sz w:val="32"/>
          <w:szCs w:val="32"/>
          <w:lang w:val="zh-CN"/>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ascii="Times New Roman" w:hAnsi="Times New Roman" w:eastAsia="仿宋"/>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ascii="Times New Roman" w:hAnsi="Times New Roman" w:eastAsia="仿宋"/>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ascii="Times New Roman" w:hAnsi="Times New Roman" w:eastAsia="仿宋"/>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ascii="Times New Roman" w:hAnsi="Times New Roman" w:eastAsia="仿宋"/>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ascii="Times New Roman" w:hAnsi="Times New Roman" w:eastAsia="仿宋"/>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ascii="Times New Roman" w:hAnsi="Times New Roman" w:eastAsia="仿宋"/>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ascii="Times New Roman" w:hAnsi="Times New Roman" w:eastAsia="仿宋"/>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ascii="Times New Roman" w:hAnsi="Times New Roman" w:eastAsia="仿宋"/>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ascii="Times New Roman" w:hAnsi="Times New Roman" w:eastAsia="仿宋"/>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A00002EF" w:usb1="4000004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12015192"/>
                          </w:sdtPr>
                          <w:sdtContent>
                            <w:p>
                              <w:pPr>
                                <w:pStyle w:val="6"/>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10</w:t>
                              </w:r>
                              <w:r>
                                <w:rPr>
                                  <w:rFonts w:hint="eastAsia" w:asciiTheme="minorEastAsia" w:hAnsiTheme="minorEastAsia" w:eastAsiaTheme="minorEastAsia" w:cstheme="minorEastAsia"/>
                                  <w:sz w:val="28"/>
                                  <w:szCs w:val="28"/>
                                </w:rPr>
                                <w:fldChar w:fldCharType="end"/>
                              </w:r>
                            </w:p>
                          </w:sdtContent>
                        </w:sdt>
                        <w:p>
                          <w:pPr>
                            <w:pStyle w:val="2"/>
                            <w:ind w:firstLine="420"/>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sdt>
                    <w:sdtPr>
                      <w:id w:val="212015192"/>
                    </w:sdtPr>
                    <w:sdtContent>
                      <w:p>
                        <w:pPr>
                          <w:pStyle w:val="6"/>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10</w:t>
                        </w:r>
                        <w:r>
                          <w:rPr>
                            <w:rFonts w:hint="eastAsia" w:asciiTheme="minorEastAsia" w:hAnsiTheme="minorEastAsia" w:eastAsiaTheme="minorEastAsia" w:cstheme="minorEastAsia"/>
                            <w:sz w:val="28"/>
                            <w:szCs w:val="28"/>
                          </w:rPr>
                          <w:fldChar w:fldCharType="end"/>
                        </w:r>
                      </w:p>
                    </w:sdtContent>
                  </w:sdt>
                  <w:p>
                    <w:pPr>
                      <w:pStyle w:val="2"/>
                      <w:ind w:firstLine="420"/>
                    </w:pP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I</w:t>
                    </w:r>
                    <w: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ZWRlYmY4OWJkOGRmODc5MTM0ZTJmMTJlMTZkOGEifQ=="/>
  </w:docVars>
  <w:rsids>
    <w:rsidRoot w:val="003F0C12"/>
    <w:rsid w:val="000C2FE2"/>
    <w:rsid w:val="000C4382"/>
    <w:rsid w:val="000D6F70"/>
    <w:rsid w:val="001323F4"/>
    <w:rsid w:val="00164436"/>
    <w:rsid w:val="001A3DE0"/>
    <w:rsid w:val="001A4214"/>
    <w:rsid w:val="001C5278"/>
    <w:rsid w:val="00240E8A"/>
    <w:rsid w:val="002F3744"/>
    <w:rsid w:val="003357FA"/>
    <w:rsid w:val="003B20F5"/>
    <w:rsid w:val="003E4638"/>
    <w:rsid w:val="003F0C12"/>
    <w:rsid w:val="0042293C"/>
    <w:rsid w:val="00433680"/>
    <w:rsid w:val="004A40B4"/>
    <w:rsid w:val="005512AB"/>
    <w:rsid w:val="00621B65"/>
    <w:rsid w:val="006469FB"/>
    <w:rsid w:val="00683C1E"/>
    <w:rsid w:val="006B2DBE"/>
    <w:rsid w:val="00734859"/>
    <w:rsid w:val="00784F88"/>
    <w:rsid w:val="007F0B4B"/>
    <w:rsid w:val="007F6D3C"/>
    <w:rsid w:val="007F6D72"/>
    <w:rsid w:val="00807833"/>
    <w:rsid w:val="008320AA"/>
    <w:rsid w:val="00867EE6"/>
    <w:rsid w:val="008A4E59"/>
    <w:rsid w:val="008E084D"/>
    <w:rsid w:val="009136F0"/>
    <w:rsid w:val="00934CD2"/>
    <w:rsid w:val="009560B3"/>
    <w:rsid w:val="009663D2"/>
    <w:rsid w:val="00981ED5"/>
    <w:rsid w:val="009D3342"/>
    <w:rsid w:val="009F064E"/>
    <w:rsid w:val="00A0570A"/>
    <w:rsid w:val="00A37EA5"/>
    <w:rsid w:val="00A67F5A"/>
    <w:rsid w:val="00A808E5"/>
    <w:rsid w:val="00A9070B"/>
    <w:rsid w:val="00B83932"/>
    <w:rsid w:val="00BB0DE4"/>
    <w:rsid w:val="00BB4103"/>
    <w:rsid w:val="00C042DE"/>
    <w:rsid w:val="00CD27F1"/>
    <w:rsid w:val="00D253E7"/>
    <w:rsid w:val="00D33956"/>
    <w:rsid w:val="00D46055"/>
    <w:rsid w:val="00D67AFB"/>
    <w:rsid w:val="00DA1D6E"/>
    <w:rsid w:val="00DA4687"/>
    <w:rsid w:val="00DF418A"/>
    <w:rsid w:val="00E02A16"/>
    <w:rsid w:val="00EA34BF"/>
    <w:rsid w:val="00EB0820"/>
    <w:rsid w:val="00ED1DE9"/>
    <w:rsid w:val="00F11F4A"/>
    <w:rsid w:val="00F80EDC"/>
    <w:rsid w:val="00F911D8"/>
    <w:rsid w:val="00FC05CD"/>
    <w:rsid w:val="174C6FA2"/>
    <w:rsid w:val="1BAD3231"/>
    <w:rsid w:val="1DD3B659"/>
    <w:rsid w:val="1DDDC703"/>
    <w:rsid w:val="1EF2716E"/>
    <w:rsid w:val="22D66AF3"/>
    <w:rsid w:val="24FF2F23"/>
    <w:rsid w:val="27716A62"/>
    <w:rsid w:val="2DD6C9B7"/>
    <w:rsid w:val="2EDBAD51"/>
    <w:rsid w:val="2FB97E4F"/>
    <w:rsid w:val="3CDB8B81"/>
    <w:rsid w:val="3CFE1E40"/>
    <w:rsid w:val="3DD38320"/>
    <w:rsid w:val="3F776262"/>
    <w:rsid w:val="3F7B1098"/>
    <w:rsid w:val="3F7DA8DD"/>
    <w:rsid w:val="3FDF593A"/>
    <w:rsid w:val="3FF52D1F"/>
    <w:rsid w:val="4E77369A"/>
    <w:rsid w:val="4EF790DB"/>
    <w:rsid w:val="4FFE3B69"/>
    <w:rsid w:val="57BECEA4"/>
    <w:rsid w:val="5B7E977C"/>
    <w:rsid w:val="5BEDE5E4"/>
    <w:rsid w:val="5BF4F4F3"/>
    <w:rsid w:val="5CF7C6A4"/>
    <w:rsid w:val="5CFCCCE9"/>
    <w:rsid w:val="5DAD3964"/>
    <w:rsid w:val="5DDD1F48"/>
    <w:rsid w:val="5E7335DD"/>
    <w:rsid w:val="5EFF5A47"/>
    <w:rsid w:val="5F3A89EC"/>
    <w:rsid w:val="5F572787"/>
    <w:rsid w:val="5FB00ADC"/>
    <w:rsid w:val="6B9FDA7C"/>
    <w:rsid w:val="6BB147AC"/>
    <w:rsid w:val="6EFFFCFD"/>
    <w:rsid w:val="6F7E1D01"/>
    <w:rsid w:val="6FFFCC89"/>
    <w:rsid w:val="751169FE"/>
    <w:rsid w:val="753DA634"/>
    <w:rsid w:val="773FBCA2"/>
    <w:rsid w:val="77694F8B"/>
    <w:rsid w:val="777F0702"/>
    <w:rsid w:val="797BA611"/>
    <w:rsid w:val="79F75EE7"/>
    <w:rsid w:val="79FE6E94"/>
    <w:rsid w:val="7AF67C2E"/>
    <w:rsid w:val="7B72F879"/>
    <w:rsid w:val="7B7EB612"/>
    <w:rsid w:val="7C316609"/>
    <w:rsid w:val="7CFF82DD"/>
    <w:rsid w:val="7DDAF396"/>
    <w:rsid w:val="7DE3C821"/>
    <w:rsid w:val="7DF71BB8"/>
    <w:rsid w:val="7EA1316C"/>
    <w:rsid w:val="7EB342EC"/>
    <w:rsid w:val="7ED413D7"/>
    <w:rsid w:val="7EFAF087"/>
    <w:rsid w:val="7EFE8FC7"/>
    <w:rsid w:val="7F778458"/>
    <w:rsid w:val="7F7B2625"/>
    <w:rsid w:val="7F7D31BD"/>
    <w:rsid w:val="7FAFA064"/>
    <w:rsid w:val="7FBB87DD"/>
    <w:rsid w:val="7FBED284"/>
    <w:rsid w:val="7FF57214"/>
    <w:rsid w:val="7FF96462"/>
    <w:rsid w:val="7FFD7937"/>
    <w:rsid w:val="7FFF29A2"/>
    <w:rsid w:val="879E0DB2"/>
    <w:rsid w:val="9FC7C3D3"/>
    <w:rsid w:val="A7F7B11F"/>
    <w:rsid w:val="B6F5618A"/>
    <w:rsid w:val="B7F8035C"/>
    <w:rsid w:val="BDBFE97F"/>
    <w:rsid w:val="BDF63F68"/>
    <w:rsid w:val="BF17FE59"/>
    <w:rsid w:val="BF75C934"/>
    <w:rsid w:val="BFB734DB"/>
    <w:rsid w:val="BFFFBB76"/>
    <w:rsid w:val="C745F7E9"/>
    <w:rsid w:val="CBE745AD"/>
    <w:rsid w:val="CBFF6614"/>
    <w:rsid w:val="CFE26CDE"/>
    <w:rsid w:val="D35B7CBC"/>
    <w:rsid w:val="DAF31F6C"/>
    <w:rsid w:val="DAF7E7E2"/>
    <w:rsid w:val="DB77EDB4"/>
    <w:rsid w:val="DBBF97E4"/>
    <w:rsid w:val="DD3ED762"/>
    <w:rsid w:val="DE7FEE15"/>
    <w:rsid w:val="DEDEE229"/>
    <w:rsid w:val="DEF79E4D"/>
    <w:rsid w:val="DEFE4E06"/>
    <w:rsid w:val="E3EFFC12"/>
    <w:rsid w:val="E7BDD7D6"/>
    <w:rsid w:val="EA78DE1D"/>
    <w:rsid w:val="EBFCC7AD"/>
    <w:rsid w:val="EE5F34B8"/>
    <w:rsid w:val="EEFE4937"/>
    <w:rsid w:val="EFE623E8"/>
    <w:rsid w:val="EFED9F89"/>
    <w:rsid w:val="EFF7EBEF"/>
    <w:rsid w:val="EFFF079D"/>
    <w:rsid w:val="F2EFFC5F"/>
    <w:rsid w:val="F2FF239C"/>
    <w:rsid w:val="F41C7F7D"/>
    <w:rsid w:val="F4A7C83E"/>
    <w:rsid w:val="F57745C1"/>
    <w:rsid w:val="F6CF9850"/>
    <w:rsid w:val="F75615DD"/>
    <w:rsid w:val="F7E52C78"/>
    <w:rsid w:val="F7FB013A"/>
    <w:rsid w:val="FB2918DD"/>
    <w:rsid w:val="FBB3A2E6"/>
    <w:rsid w:val="FBDF1A44"/>
    <w:rsid w:val="FC5F3844"/>
    <w:rsid w:val="FC7F84BC"/>
    <w:rsid w:val="FCEB1484"/>
    <w:rsid w:val="FD2F0C64"/>
    <w:rsid w:val="FD7354BC"/>
    <w:rsid w:val="FD7711B1"/>
    <w:rsid w:val="FDBFA9CD"/>
    <w:rsid w:val="FDF73774"/>
    <w:rsid w:val="FE66025D"/>
    <w:rsid w:val="FEEFE825"/>
    <w:rsid w:val="FEFA4049"/>
    <w:rsid w:val="FF7743BC"/>
    <w:rsid w:val="FF971921"/>
    <w:rsid w:val="FFA19E2A"/>
    <w:rsid w:val="FFA70D44"/>
    <w:rsid w:val="FFA7BE19"/>
    <w:rsid w:val="FFBC4275"/>
    <w:rsid w:val="FFBE5F80"/>
    <w:rsid w:val="FFCA8625"/>
    <w:rsid w:val="FFD5553B"/>
    <w:rsid w:val="FFFC0C75"/>
    <w:rsid w:val="FFFF6F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1"/>
    <w:pPr>
      <w:spacing w:line="633" w:lineRule="exact"/>
      <w:ind w:left="913" w:right="1170"/>
    </w:pPr>
    <w:rPr>
      <w:rFonts w:ascii="方正小标宋_GBK" w:hAnsi="方正小标宋_GBK" w:eastAsia="方正小标宋_GBK" w:cs="方正小标宋_GBK"/>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line="360" w:lineRule="auto"/>
      <w:ind w:firstLine="200" w:firstLineChars="200"/>
    </w:pPr>
    <w:rPr>
      <w:rFonts w:ascii="Arial" w:hAnsi="Arial"/>
    </w:rPr>
  </w:style>
  <w:style w:type="paragraph" w:styleId="4">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0"/>
    <w:rPr>
      <w:rFonts w:ascii="Calibri" w:hAnsi="Calibri"/>
      <w:kern w:val="2"/>
      <w:sz w:val="18"/>
      <w:szCs w:val="18"/>
    </w:rPr>
  </w:style>
  <w:style w:type="character" w:customStyle="1" w:styleId="12">
    <w:name w:val="页脚 Char"/>
    <w:basedOn w:val="10"/>
    <w:link w:val="6"/>
    <w:qFormat/>
    <w:uiPriority w:val="0"/>
    <w:rPr>
      <w:rFonts w:ascii="Calibri" w:hAnsi="Calibri"/>
      <w:kern w:val="2"/>
      <w:sz w:val="18"/>
      <w:szCs w:val="18"/>
    </w:rPr>
  </w:style>
  <w:style w:type="character" w:customStyle="1" w:styleId="13">
    <w:name w:val="批注框文本 Char"/>
    <w:basedOn w:val="10"/>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6039</Words>
  <Characters>6242</Characters>
  <Lines>47</Lines>
  <Paragraphs>13</Paragraphs>
  <TotalTime>66</TotalTime>
  <ScaleCrop>false</ScaleCrop>
  <LinksUpToDate>false</LinksUpToDate>
  <CharactersWithSpaces>6271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2022-09-14T19:17:00Z</dcterms:created>
  <dc:creator>照日格图</dc:creator>
  <cp:lastModifiedBy>热心市民刘先生</cp:lastModifiedBy>
  <dcterms:modified xsi:type="dcterms:W3CDTF">2023-01-30T03:06:31Z</dcterms:modified>
  <dc:title>内蒙古自治区工业和信息化厅关于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8B0FC47C16AB4EDBAF089A050D0A04E9</vt:lpwstr>
  </property>
</Properties>
</file>