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bidi w:val="0"/>
        <w:jc w:val="center"/>
        <w:rPr>
          <w:rFonts w:hint="eastAsia"/>
          <w:lang w:val="en-US" w:eastAsia="zh-CN"/>
        </w:rPr>
      </w:pPr>
      <w:bookmarkStart w:id="5" w:name="_GoBack"/>
      <w:r>
        <w:rPr>
          <w:rFonts w:hint="eastAsia"/>
          <w:lang w:val="en-US" w:eastAsia="zh-CN"/>
        </w:rPr>
        <w:t>乌海市水利行业</w:t>
      </w:r>
    </w:p>
    <w:p>
      <w:pPr>
        <w:pStyle w:val="7"/>
        <w:bidi w:val="0"/>
        <w:jc w:val="center"/>
        <w:rPr>
          <w:rFonts w:hint="eastAsia"/>
          <w:lang w:val="en-US" w:eastAsia="zh-CN"/>
        </w:rPr>
      </w:pPr>
      <w:r>
        <w:rPr>
          <w:rFonts w:hint="eastAsia"/>
          <w:lang w:val="en-US" w:eastAsia="zh-CN"/>
        </w:rPr>
        <w:t>重大事故隐患专项排查整治行动工作方案</w:t>
      </w:r>
    </w:p>
    <w:bookmarkEnd w:id="5"/>
    <w:p>
      <w:pPr>
        <w:rPr>
          <w:rFonts w:hint="eastAsia"/>
          <w:lang w:val="en-US" w:eastAsia="zh-CN"/>
        </w:rPr>
      </w:pPr>
    </w:p>
    <w:p>
      <w:pPr>
        <w:rPr>
          <w:rFonts w:hint="eastAsia"/>
          <w:lang w:val="en-US" w:eastAsia="zh-CN"/>
        </w:rPr>
      </w:pPr>
      <w:r>
        <w:rPr>
          <w:rFonts w:hint="eastAsia"/>
          <w:lang w:val="en-US" w:eastAsia="zh-CN"/>
        </w:rPr>
        <w:t>为认真贯彻落实党的二十大精神和习近平总书记关于安全生产和防灾减灾救灾重要论述，按照国务院安委会和自治区党委、政府，市委、市政府，市安委会安排部署，根据《乌海市重大事故隐患专项排查整治2023行动方案》和《全区水利行业外包专项整治、中介机构管理专项整治、罚而不改专项整治、打非治违专项行动工作方案》《自治区水利厅关于开展水利工程施工现场交通安全专项整治行动的通知》的有关要求，制定《乌海市水利行业重大事故隐患专项排查整治工作方案》，具体内容如下。</w:t>
      </w:r>
    </w:p>
    <w:p>
      <w:pPr>
        <w:pStyle w:val="5"/>
        <w:bidi w:val="0"/>
        <w:rPr>
          <w:rFonts w:hint="eastAsia"/>
          <w:lang w:val="en-US" w:eastAsia="zh-CN"/>
        </w:rPr>
      </w:pPr>
      <w:r>
        <w:rPr>
          <w:rFonts w:hint="eastAsia"/>
          <w:lang w:val="en-US" w:eastAsia="zh-CN"/>
        </w:rPr>
        <w:t>一、总体要求</w:t>
      </w:r>
    </w:p>
    <w:p>
      <w:pPr>
        <w:rPr>
          <w:rFonts w:hint="eastAsia"/>
          <w:lang w:val="en-US" w:eastAsia="zh-CN"/>
        </w:rPr>
      </w:pPr>
      <w:r>
        <w:rPr>
          <w:rFonts w:hint="eastAsia"/>
          <w:lang w:val="en-US" w:eastAsia="zh-CN"/>
        </w:rPr>
        <w:t>以习近平新时代中国特色社会主义思想为指导，全面贯彻党的二十大精神，结合习近平总书记交给内蒙古的五大任务和安全生产大排查大整治工作要求，更好统筹发展和安全，狠抓安全生产15条硬措施、自治区53条具体措施以及我市65条任务分工落实，全面落实水行政主管门监管责任，压紧压实生产经营单位主体责任，督促推动企业落实落细安全生产工作措施。</w:t>
      </w:r>
      <w:r>
        <w:rPr>
          <w:rFonts w:hint="eastAsia"/>
          <w:lang w:eastAsia="zh-CN"/>
        </w:rPr>
        <w:t>突出排查整治水利生产经营、水利工程施工和运行管理、山洪灾害易发区、山洪河道阻碍行洪等方面的安全风险隐患，聚焦可能导致群死群伤的设施设备故障、非法违规行为、安全管理缺陷等隐患问题，</w:t>
      </w:r>
      <w:r>
        <w:rPr>
          <w:rFonts w:hint="eastAsia"/>
          <w:lang w:val="en-US" w:eastAsia="zh-CN"/>
        </w:rPr>
        <w:t>认真排查整改，全面消除重大事故隐患，坚决杜绝发生重特大事故，坚决守牢兜住安全发展底线，推动安全生产治理模式向事前预防转型，在筑牢祖国北疆安全稳定屏障中展现更大担当作为。</w:t>
      </w:r>
    </w:p>
    <w:p>
      <w:pPr>
        <w:pStyle w:val="5"/>
        <w:bidi w:val="0"/>
        <w:rPr>
          <w:rFonts w:hint="eastAsia"/>
          <w:lang w:val="en-US" w:eastAsia="zh-CN"/>
        </w:rPr>
      </w:pPr>
      <w:r>
        <w:rPr>
          <w:rFonts w:hint="eastAsia"/>
          <w:lang w:val="en-US" w:eastAsia="zh-CN"/>
        </w:rPr>
        <w:t>二、工作目标</w:t>
      </w:r>
    </w:p>
    <w:p>
      <w:pPr>
        <w:rPr>
          <w:rFonts w:hint="eastAsia"/>
          <w:lang w:val="en-US" w:eastAsia="zh-CN"/>
        </w:rPr>
      </w:pPr>
      <w:r>
        <w:rPr>
          <w:rFonts w:hint="eastAsia"/>
          <w:lang w:val="en-US" w:eastAsia="zh-CN"/>
        </w:rPr>
        <w:t>在全市水利系统范围内集中开展“体检式”安全生产大检查大整治，通过开展专项整治，全面摸清并动态掌握重大事故隐患底数。有效解决不够较真、不敢碰硬、改不到位，管不严格4个方面问题。全面整治隐患排查不到位，整改质量不高，培训演练不实，安全标准不高，责任落实不力等5类问题。推动水利行业生产经营单位主要负责人严格履行安全生产法定职责，安全生产第一责任人意识显著增强。对照“三管三必须”，强化安全监管，推动加快形成齐抓共管的工作格局，确保全市水利安全生产形势持续稳定向好。</w:t>
      </w:r>
    </w:p>
    <w:p>
      <w:pPr>
        <w:pStyle w:val="5"/>
        <w:bidi w:val="0"/>
        <w:rPr>
          <w:rFonts w:hint="eastAsia"/>
          <w:lang w:val="en-US" w:eastAsia="zh-CN"/>
        </w:rPr>
      </w:pPr>
      <w:r>
        <w:rPr>
          <w:rFonts w:hint="eastAsia"/>
          <w:lang w:val="en-US" w:eastAsia="zh-CN"/>
        </w:rPr>
        <w:t>三、重点排查内容</w:t>
      </w:r>
    </w:p>
    <w:p>
      <w:pPr>
        <w:rPr>
          <w:rFonts w:hint="eastAsia"/>
          <w:lang w:val="en-US" w:eastAsia="zh-CN"/>
        </w:rPr>
      </w:pPr>
      <w:r>
        <w:rPr>
          <w:rFonts w:hint="eastAsia"/>
          <w:lang w:val="en-US" w:eastAsia="zh-CN"/>
        </w:rPr>
        <w:t>针对水利行业领域特点，确定5个方面专项行动重点检查内容，找准最突出最紧迫的风险隐患开展排查整治，全面“过筛子”“堵漏洞”，不打折扣、不留死角、不走过场。对照水利部《水利工程生产安全重大事故隐患判定标准》（见附件1），每个区在专项整治期间，至少发现和上报一条重大隐患或重大问题。</w:t>
      </w:r>
    </w:p>
    <w:p>
      <w:pPr>
        <w:rPr>
          <w:rFonts w:hint="eastAsia"/>
          <w:lang w:val="en-US" w:eastAsia="zh-CN"/>
        </w:rPr>
      </w:pPr>
      <w:r>
        <w:rPr>
          <w:rStyle w:val="28"/>
          <w:rFonts w:hint="eastAsia"/>
          <w:lang w:val="en-US" w:eastAsia="zh-CN"/>
        </w:rPr>
        <w:t>（一）水利生产经营企业安全管理责任落实情况。</w:t>
      </w:r>
      <w:r>
        <w:rPr>
          <w:rFonts w:hint="eastAsia"/>
          <w:lang w:val="en-US" w:eastAsia="zh-CN"/>
        </w:rPr>
        <w:t>重点检查水利生产经营单位主要负责人履职情况；安全生产岗位责任制、重大危险源安全包保责任制等制度落实情况；重大隐患自查自改，落实隐患治理专项经费情况；从业人员安全培训和持证上岗制度落实情况；开展违规动火全员安全警示教育情况；规范招聘电焊工等特殊工种情况；安全生产作业现场制度化、重要设施、装备完好状况和日常管理维护情况；开展安全风险辨识、评估情况；安全生产标准化建设情况；是否存在无证、证照不全或过期、超许可范围从事生产经营活动；是否存在非法将生产经营项目、场所、设备发包或者出租给不具备安全生产条件或者响应资质的单位或者个人情况。</w:t>
      </w:r>
      <w:r>
        <w:rPr>
          <w:rStyle w:val="28"/>
          <w:rFonts w:hint="eastAsia"/>
          <w:lang w:val="en-US" w:eastAsia="zh-CN"/>
        </w:rPr>
        <w:t>（责任主体：水务投资公司、升源水务公司；监管单位：海勃湾区农牧水务局；监督科室：水旱灾害防御科）</w:t>
      </w:r>
    </w:p>
    <w:p>
      <w:pPr>
        <w:rPr>
          <w:rFonts w:hint="eastAsia"/>
          <w:lang w:val="en-US" w:eastAsia="zh-CN"/>
        </w:rPr>
      </w:pPr>
      <w:r>
        <w:rPr>
          <w:rStyle w:val="28"/>
          <w:rFonts w:hint="eastAsia"/>
          <w:lang w:val="en-US" w:eastAsia="zh-CN"/>
        </w:rPr>
        <w:t>（二）水利工程建设规范施工情况。</w:t>
      </w:r>
      <w:r>
        <w:rPr>
          <w:rFonts w:hint="eastAsia"/>
          <w:lang w:val="en-US" w:eastAsia="zh-CN"/>
        </w:rPr>
        <w:t>重点检查水利工程施工现场道路交通安全管理、场内机动车辆安全管理、人员持证安全教育、全员安全生产责任落实及隐患排查治理等情况；施工企业主要负责人、项目负责人、专职安全管理人员是否存在无安全生产考核合格证书、特种作业人员无操作证书从事建筑施工活动；是否存在施工单位无资质、超资质从事施工活动和挂靠、转包或违法分包施工；外包作业单位资质条件、从业人员安全培训、安全管理、应急救援情况；招标代理、勘察设计、监理等中介机构是否存在不正当行为。</w:t>
      </w:r>
      <w:r>
        <w:rPr>
          <w:rStyle w:val="28"/>
          <w:rFonts w:hint="eastAsia"/>
          <w:lang w:val="en-US" w:eastAsia="zh-CN"/>
        </w:rPr>
        <w:t>（责任主体：各水利工程建设单位；监管单位：各区农牧水务局；监督科室：水利和水保科，计划财务科，水利发展和工程质量监督服务中心）</w:t>
      </w:r>
    </w:p>
    <w:p>
      <w:pPr>
        <w:rPr>
          <w:rFonts w:hint="default"/>
          <w:b/>
          <w:bCs/>
          <w:lang w:val="en-US" w:eastAsia="zh-CN"/>
        </w:rPr>
      </w:pPr>
      <w:r>
        <w:rPr>
          <w:rStyle w:val="28"/>
          <w:rFonts w:hint="eastAsia"/>
          <w:lang w:val="en-US" w:eastAsia="zh-CN"/>
        </w:rPr>
        <w:t>（三）水利工程运行规范管理情况。</w:t>
      </w:r>
      <w:r>
        <w:rPr>
          <w:rFonts w:hint="eastAsia"/>
          <w:lang w:val="en-US" w:eastAsia="zh-CN"/>
        </w:rPr>
        <w:t>千里山水库主要检查大坝安全和责任制落实情况，大坝、溢洪道、启闭设备、穿堤建筑物、软硬结合部等工作情况，各类安全监测设施运用状况；闸门、启闭设备等使用和维护情况；安全管理、管护人员和日常巡查情况。</w:t>
      </w:r>
      <w:r>
        <w:rPr>
          <w:rStyle w:val="28"/>
          <w:rFonts w:hint="eastAsia"/>
          <w:lang w:val="en-US" w:eastAsia="zh-CN"/>
        </w:rPr>
        <w:t>（责任主体：升源水务公司；监管单位：海勃湾区农牧水务局；监督科室：河湖和运行管理监督科，河湖与水旱灾害防御中心）</w:t>
      </w:r>
      <w:r>
        <w:rPr>
          <w:rFonts w:hint="eastAsia"/>
          <w:lang w:val="en-US" w:eastAsia="zh-CN"/>
        </w:rPr>
        <w:t>石大门沟淤地坝重点检查安全度汛责任人落实情况；是否存在泄水、放水设施（溢洪道、卧管、竖井、涵洞、涵管等）局部损毁或出现坍塌、断裂、淤堵、掩埋、基部淘刷悬空，是否存在通往放水设施道路不通，是否存在坝体被人为破坏、违法占用，造成安全隐患。</w:t>
      </w:r>
      <w:r>
        <w:rPr>
          <w:rStyle w:val="28"/>
          <w:rFonts w:hint="eastAsia"/>
          <w:lang w:val="en-US" w:eastAsia="zh-CN"/>
        </w:rPr>
        <w:t>（责任主体：水务投资公司；监管单位：海南区农牧水务局；监督科室：水利和水保科，水土保持工作站）</w:t>
      </w:r>
      <w:r>
        <w:rPr>
          <w:rFonts w:hint="eastAsia"/>
          <w:lang w:val="en-US" w:eastAsia="zh-CN"/>
        </w:rPr>
        <w:t>中型灌区泵站工程重点检查工程运行安全责任落实情况、安全生产管理制度建设、风险隐患排查整改情况、重点环节安全防范措施落实等情况；农村供水工程重点检查水源地保护、水厂运行安全以及是否存在严重水质超标、水量不足导致集中连片整村停断水的安全隐患等。</w:t>
      </w:r>
      <w:r>
        <w:rPr>
          <w:rStyle w:val="28"/>
          <w:rFonts w:hint="eastAsia"/>
          <w:lang w:val="en-US" w:eastAsia="zh-CN"/>
        </w:rPr>
        <w:t>（责任主体：各区农牧水务局；监督科室：水利和水保科，水利发展和工程质量监督服务中心）</w:t>
      </w:r>
    </w:p>
    <w:p>
      <w:pPr>
        <w:rPr>
          <w:rFonts w:hint="default"/>
          <w:lang w:val="en-US" w:eastAsia="zh-CN"/>
        </w:rPr>
      </w:pPr>
      <w:r>
        <w:rPr>
          <w:rStyle w:val="28"/>
          <w:rFonts w:hint="eastAsia"/>
          <w:lang w:val="en-US" w:eastAsia="zh-CN"/>
        </w:rPr>
        <w:t>（四）安全生产大排查大整治以来发现问题整改情况。</w:t>
      </w:r>
      <w:r>
        <w:rPr>
          <w:rFonts w:hint="eastAsia"/>
          <w:lang w:val="en-US" w:eastAsia="zh-CN"/>
        </w:rPr>
        <w:t>重点检查2023年以来各类安全生产检查中发现问题隐患整改情况，是否持续排查整改，发现的问题隐患是否建立台账，隐患是否限期完成整改，是否做到责任、措施、资金、时限、预案“五落实”，是否存在新的问题隐患。</w:t>
      </w:r>
      <w:r>
        <w:rPr>
          <w:rStyle w:val="28"/>
          <w:rFonts w:hint="eastAsia"/>
          <w:lang w:val="en-US" w:eastAsia="zh-CN"/>
        </w:rPr>
        <w:t>（责任主体：水土保持工作站、水务投资公司、升源水务公司、各水利工程建设单位；监管单位：各区农牧水务局；监督科室：水旱灾害防御科、水利和水保科）</w:t>
      </w:r>
    </w:p>
    <w:p>
      <w:pPr>
        <w:rPr>
          <w:rStyle w:val="28"/>
          <w:rFonts w:hint="default"/>
          <w:lang w:val="en-US" w:eastAsia="zh-CN"/>
        </w:rPr>
      </w:pPr>
      <w:r>
        <w:rPr>
          <w:rStyle w:val="28"/>
          <w:rFonts w:hint="eastAsia"/>
          <w:lang w:val="en-US" w:eastAsia="zh-CN"/>
        </w:rPr>
        <w:t>（五）安全度汛准备工作情况。</w:t>
      </w:r>
      <w:r>
        <w:rPr>
          <w:rFonts w:hint="eastAsia"/>
          <w:lang w:val="en-US" w:eastAsia="zh-CN"/>
        </w:rPr>
        <w:t>重点检查山洪灾害防御责任落实情况，应急预案编制修订情况，应急演练开展情况，山洪灾害监测预警平台运行情况；山洪地质灾害易发区、城乡低洼易涝区、人员密集场所等重点部位防范情况；针对千里山水库、石大门沟淤地坝、甘德尔河水闸、主要行洪河道等重点区域开展安全风险排查，全面消除防汛隐患；开展河道清理整治，坚决维护河道管理秩序，持续巩固清“四乱”成果，确保河势稳定、行洪顺畅。</w:t>
      </w:r>
      <w:r>
        <w:rPr>
          <w:rStyle w:val="28"/>
          <w:rFonts w:hint="eastAsia"/>
          <w:lang w:val="en-US" w:eastAsia="zh-CN"/>
        </w:rPr>
        <w:t>（责任主体：公用事业发展中心、各区农牧水务局、河湖与水旱灾害防御中心、水务投资公司、升源水务公司；监督科室：水旱灾害防御科，河湖和运行管理监督科）</w:t>
      </w:r>
    </w:p>
    <w:p>
      <w:pPr>
        <w:pStyle w:val="5"/>
        <w:bidi w:val="0"/>
        <w:rPr>
          <w:rFonts w:hint="eastAsia"/>
          <w:lang w:val="en-US" w:eastAsia="zh-CN"/>
        </w:rPr>
      </w:pPr>
      <w:r>
        <w:rPr>
          <w:rFonts w:hint="eastAsia"/>
          <w:lang w:val="en-US" w:eastAsia="zh-CN"/>
        </w:rPr>
        <w:t>四、时间安排</w:t>
      </w:r>
    </w:p>
    <w:p>
      <w:pPr>
        <w:bidi w:val="0"/>
        <w:rPr>
          <w:rFonts w:hint="eastAsia"/>
          <w:highlight w:val="none"/>
          <w:lang w:val="en-US" w:eastAsia="zh-CN"/>
        </w:rPr>
      </w:pPr>
      <w:r>
        <w:rPr>
          <w:rStyle w:val="28"/>
          <w:rFonts w:hint="eastAsia"/>
          <w:lang w:val="en-US" w:eastAsia="zh-CN"/>
        </w:rPr>
        <w:t>（一）动员部署阶段（2023年5月20日前）。</w:t>
      </w:r>
      <w:r>
        <w:rPr>
          <w:rFonts w:hint="eastAsia"/>
          <w:highlight w:val="none"/>
          <w:lang w:val="en-US" w:eastAsia="zh-CN"/>
        </w:rPr>
        <w:t>市水务局召开专题会议动员部署，全面启动专项行动工作，细化明确重点检查事项和安全生产重大事故隐患判定标准，健全工作机制，严密组织实施。</w:t>
      </w:r>
    </w:p>
    <w:p>
      <w:pPr>
        <w:bidi w:val="0"/>
        <w:rPr>
          <w:rFonts w:hint="eastAsia"/>
          <w:lang w:val="en-US" w:eastAsia="zh-CN"/>
        </w:rPr>
      </w:pPr>
      <w:r>
        <w:rPr>
          <w:rStyle w:val="28"/>
          <w:rFonts w:hint="eastAsia"/>
          <w:lang w:val="en-US" w:eastAsia="zh-CN"/>
        </w:rPr>
        <w:t>（二）企业自查和部门帮扶阶段（2023年7月底前）。</w:t>
      </w:r>
      <w:r>
        <w:rPr>
          <w:rFonts w:hint="eastAsia"/>
          <w:lang w:val="en-US" w:eastAsia="zh-CN"/>
        </w:rPr>
        <w:t>各水利生产经营单位和水利工程建设、管理单位要严格按照整治内容和标准，全面开展自查自纠，并建立安全生产重大事故隐患台账，逐项明确整改责任单位、整改要求和完成时限，及时向市水务局报告专项行动开展情况。市水务局将对重点地区、重点企业自查自改情况开展帮扶和抽查检查。</w:t>
      </w:r>
    </w:p>
    <w:p>
      <w:pPr>
        <w:bidi w:val="0"/>
        <w:rPr>
          <w:rFonts w:hint="eastAsia"/>
          <w:lang w:val="en-US" w:eastAsia="zh-CN"/>
        </w:rPr>
      </w:pPr>
      <w:r>
        <w:rPr>
          <w:rStyle w:val="28"/>
          <w:rFonts w:hint="eastAsia"/>
          <w:lang w:val="en-US" w:eastAsia="zh-CN"/>
        </w:rPr>
        <w:t>（三）精准执法阶段（2023年10月底前）。</w:t>
      </w:r>
      <w:r>
        <w:rPr>
          <w:rFonts w:hint="eastAsia"/>
          <w:lang w:val="en-US" w:eastAsia="zh-CN"/>
        </w:rPr>
        <w:t>聚焦安全生产重大事故隐患和重点检查事项，聚焦第一责任人履职情况，深入企业、一线开展精准执法检查，坚持边查边改、立查立改，严查各类非法违法和违规违章行为，公开曝光重大隐患问题、事故查处等情况，推动责任主体真查真改并主动报告重大事故隐患。</w:t>
      </w:r>
    </w:p>
    <w:p>
      <w:pPr>
        <w:bidi w:val="0"/>
        <w:rPr>
          <w:rFonts w:hint="eastAsia"/>
          <w:lang w:val="en-US" w:eastAsia="zh-CN"/>
        </w:rPr>
      </w:pPr>
      <w:r>
        <w:rPr>
          <w:rStyle w:val="28"/>
          <w:rFonts w:hint="eastAsia"/>
          <w:lang w:val="en-US" w:eastAsia="zh-CN"/>
        </w:rPr>
        <w:t>（四）总结提高阶段（2023年12月底前）。</w:t>
      </w:r>
      <w:r>
        <w:rPr>
          <w:rFonts w:hint="eastAsia"/>
          <w:lang w:val="en-US" w:eastAsia="zh-CN"/>
        </w:rPr>
        <w:t>全面总结专项行动取得的成效，系统梳理好经验、好做法，积极推动互学互鉴，不断完善各项规章制度，固化工作成果，因地制宜出台一批配套举措、形成一批经验做法，建立健全防范化解重大安全风险长效机制，提升水利安全生产治理水平。</w:t>
      </w:r>
    </w:p>
    <w:p>
      <w:pPr>
        <w:pStyle w:val="5"/>
        <w:bidi w:val="0"/>
        <w:rPr>
          <w:rFonts w:hint="eastAsia"/>
          <w:lang w:val="en-US" w:eastAsia="zh-CN"/>
        </w:rPr>
      </w:pPr>
      <w:r>
        <w:rPr>
          <w:rFonts w:hint="eastAsia"/>
          <w:lang w:val="en-US" w:eastAsia="zh-CN"/>
        </w:rPr>
        <w:t>五、保障措施</w:t>
      </w:r>
    </w:p>
    <w:p>
      <w:pPr>
        <w:bidi w:val="0"/>
        <w:rPr>
          <w:rFonts w:hint="eastAsia"/>
          <w:lang w:val="en-US" w:eastAsia="zh-CN"/>
        </w:rPr>
      </w:pPr>
      <w:r>
        <w:rPr>
          <w:rStyle w:val="28"/>
          <w:rFonts w:hint="eastAsia"/>
          <w:lang w:val="en-US" w:eastAsia="zh-CN"/>
        </w:rPr>
        <w:t>（一）提高思想认识。</w:t>
      </w:r>
      <w:r>
        <w:rPr>
          <w:rFonts w:hint="eastAsia"/>
          <w:lang w:val="en-US" w:eastAsia="zh-CN"/>
        </w:rPr>
        <w:t>要坚持人民至上、生命至上，切实把思想和行动统一到习近平总书记重要指示精神上来，把学习贯彻党的二十大精神转化为防控重大安全风险的实际行动，以“时时放心不下”的责任感，稳步有序推进专项整治各项工作落地落实。</w:t>
      </w:r>
    </w:p>
    <w:p>
      <w:pPr>
        <w:bidi w:val="0"/>
        <w:rPr>
          <w:rFonts w:hint="eastAsia"/>
          <w:lang w:val="en-US" w:eastAsia="zh-CN"/>
        </w:rPr>
      </w:pPr>
      <w:r>
        <w:rPr>
          <w:rStyle w:val="28"/>
          <w:rFonts w:hint="eastAsia"/>
          <w:lang w:val="en-US" w:eastAsia="zh-CN"/>
        </w:rPr>
        <w:t>（二）加强组织领导。</w:t>
      </w:r>
      <w:r>
        <w:rPr>
          <w:rFonts w:hint="eastAsia"/>
          <w:lang w:val="en-US" w:eastAsia="zh-CN"/>
        </w:rPr>
        <w:t>市水务局成立由局长任组长的专项行动工作领导小组，加强对专项排查整治工作的组织领导和推动落实，协调解决突出问题。成员如下：</w:t>
      </w:r>
    </w:p>
    <w:p>
      <w:pPr>
        <w:bidi w:val="0"/>
        <w:rPr>
          <w:rFonts w:hint="eastAsia"/>
          <w:lang w:val="en-US" w:eastAsia="zh-CN"/>
        </w:rPr>
      </w:pPr>
      <w:r>
        <w:rPr>
          <w:rFonts w:hint="eastAsia"/>
          <w:lang w:val="en-US" w:eastAsia="zh-CN"/>
        </w:rPr>
        <w:t>组  长：李和平  党组书记、局  长</w:t>
      </w:r>
    </w:p>
    <w:p>
      <w:pPr>
        <w:bidi w:val="0"/>
        <w:rPr>
          <w:rFonts w:hint="eastAsia"/>
          <w:lang w:val="en-US" w:eastAsia="zh-CN"/>
        </w:rPr>
      </w:pPr>
      <w:r>
        <w:rPr>
          <w:rFonts w:hint="eastAsia"/>
          <w:lang w:val="en-US" w:eastAsia="zh-CN"/>
        </w:rPr>
        <w:t>副组长：郑永军  党组成员、副局长</w:t>
      </w:r>
    </w:p>
    <w:p>
      <w:pPr>
        <w:bidi w:val="0"/>
        <w:rPr>
          <w:rFonts w:hint="eastAsia"/>
          <w:lang w:val="en-US" w:eastAsia="zh-CN"/>
        </w:rPr>
      </w:pPr>
      <w:r>
        <w:rPr>
          <w:rFonts w:hint="eastAsia"/>
          <w:lang w:val="en-US" w:eastAsia="zh-CN"/>
        </w:rPr>
        <w:t xml:space="preserve">        孙福亮  党组成员、副局长</w:t>
      </w:r>
    </w:p>
    <w:p>
      <w:pPr>
        <w:bidi w:val="0"/>
        <w:rPr>
          <w:rFonts w:hint="eastAsia"/>
          <w:lang w:val="en-US" w:eastAsia="zh-CN"/>
        </w:rPr>
      </w:pPr>
      <w:r>
        <w:rPr>
          <w:rFonts w:hint="eastAsia"/>
          <w:lang w:val="en-US" w:eastAsia="zh-CN"/>
        </w:rPr>
        <w:t xml:space="preserve">        闫世伟  党组成员、副局长</w:t>
      </w:r>
    </w:p>
    <w:p>
      <w:pPr>
        <w:bidi w:val="0"/>
        <w:rPr>
          <w:rFonts w:hint="eastAsia"/>
          <w:lang w:val="en-US" w:eastAsia="zh-CN"/>
        </w:rPr>
      </w:pPr>
      <w:r>
        <w:rPr>
          <w:rFonts w:hint="eastAsia"/>
          <w:lang w:val="en-US" w:eastAsia="zh-CN"/>
        </w:rPr>
        <w:t xml:space="preserve">        刘明生  三级调研员</w:t>
      </w:r>
    </w:p>
    <w:p>
      <w:pPr>
        <w:bidi w:val="0"/>
        <w:rPr>
          <w:rFonts w:hint="eastAsia"/>
          <w:strike w:val="0"/>
          <w:dstrike w:val="0"/>
          <w:lang w:val="en-US" w:eastAsia="zh-CN"/>
        </w:rPr>
      </w:pPr>
      <w:r>
        <w:rPr>
          <w:rFonts w:hint="eastAsia"/>
          <w:strike w:val="0"/>
          <w:dstrike w:val="0"/>
          <w:lang w:val="en-US" w:eastAsia="zh-CN"/>
        </w:rPr>
        <w:t>成  员：杨泽宇  办公室主任</w:t>
      </w:r>
    </w:p>
    <w:p>
      <w:pPr>
        <w:bidi w:val="0"/>
        <w:rPr>
          <w:rFonts w:hint="eastAsia"/>
          <w:strike w:val="0"/>
          <w:dstrike w:val="0"/>
          <w:lang w:val="en-US" w:eastAsia="zh-CN"/>
        </w:rPr>
      </w:pPr>
      <w:r>
        <w:rPr>
          <w:rFonts w:hint="eastAsia"/>
          <w:strike w:val="0"/>
          <w:dstrike w:val="0"/>
          <w:lang w:val="en-US" w:eastAsia="zh-CN"/>
        </w:rPr>
        <w:t xml:space="preserve">        禹  博  水政和水资源管理科科长</w:t>
      </w:r>
    </w:p>
    <w:p>
      <w:pPr>
        <w:bidi w:val="0"/>
        <w:rPr>
          <w:rFonts w:hint="eastAsia"/>
          <w:strike w:val="0"/>
          <w:dstrike w:val="0"/>
          <w:lang w:val="en-US" w:eastAsia="zh-CN"/>
        </w:rPr>
      </w:pPr>
      <w:r>
        <w:rPr>
          <w:rFonts w:hint="eastAsia"/>
          <w:strike w:val="0"/>
          <w:dstrike w:val="0"/>
          <w:lang w:val="en-US" w:eastAsia="zh-CN"/>
        </w:rPr>
        <w:t xml:space="preserve">        范红霞  河湖和运行监督管理科科长</w:t>
      </w:r>
    </w:p>
    <w:p>
      <w:pPr>
        <w:bidi w:val="0"/>
        <w:ind w:firstLine="1920" w:firstLineChars="600"/>
        <w:rPr>
          <w:rFonts w:hint="eastAsia"/>
          <w:strike w:val="0"/>
          <w:dstrike w:val="0"/>
          <w:lang w:val="en-US" w:eastAsia="zh-CN"/>
        </w:rPr>
      </w:pPr>
      <w:r>
        <w:rPr>
          <w:rFonts w:hint="eastAsia"/>
          <w:strike w:val="0"/>
          <w:dstrike w:val="0"/>
          <w:lang w:val="en-US" w:eastAsia="zh-CN"/>
        </w:rPr>
        <w:t>张  霞  计划财务科负责人</w:t>
      </w:r>
    </w:p>
    <w:p>
      <w:pPr>
        <w:bidi w:val="0"/>
        <w:ind w:firstLine="1920" w:firstLineChars="600"/>
        <w:rPr>
          <w:rFonts w:hint="eastAsia"/>
          <w:strike w:val="0"/>
          <w:dstrike w:val="0"/>
          <w:lang w:val="en-US" w:eastAsia="zh-CN"/>
        </w:rPr>
      </w:pPr>
      <w:r>
        <w:rPr>
          <w:rFonts w:hint="eastAsia"/>
          <w:strike w:val="0"/>
          <w:dstrike w:val="0"/>
          <w:lang w:val="en-US" w:eastAsia="zh-CN"/>
        </w:rPr>
        <w:t>刘天奇  水旱灾害防御科负责人</w:t>
      </w:r>
    </w:p>
    <w:p>
      <w:pPr>
        <w:bidi w:val="0"/>
        <w:ind w:firstLine="1920" w:firstLineChars="600"/>
        <w:rPr>
          <w:rFonts w:hint="eastAsia"/>
          <w:strike w:val="0"/>
          <w:dstrike w:val="0"/>
          <w:lang w:val="en-US" w:eastAsia="zh-CN"/>
        </w:rPr>
      </w:pPr>
      <w:r>
        <w:rPr>
          <w:rFonts w:hint="eastAsia"/>
          <w:strike w:val="0"/>
          <w:dstrike w:val="0"/>
          <w:lang w:val="en-US" w:eastAsia="zh-CN"/>
        </w:rPr>
        <w:t>赵春雨  水利和水保科负责人</w:t>
      </w:r>
    </w:p>
    <w:p>
      <w:pPr>
        <w:bidi w:val="0"/>
        <w:ind w:firstLine="1920" w:firstLineChars="600"/>
        <w:rPr>
          <w:rFonts w:hint="eastAsia"/>
          <w:strike w:val="0"/>
          <w:dstrike w:val="0"/>
          <w:lang w:val="en-US" w:eastAsia="zh-CN"/>
        </w:rPr>
      </w:pPr>
      <w:r>
        <w:rPr>
          <w:rFonts w:hint="eastAsia"/>
          <w:strike w:val="0"/>
          <w:dstrike w:val="0"/>
          <w:lang w:val="en-US" w:eastAsia="zh-CN"/>
        </w:rPr>
        <w:t>王  杨  市水政综合行政执法支队支队长</w:t>
      </w:r>
    </w:p>
    <w:p>
      <w:pPr>
        <w:bidi w:val="0"/>
        <w:ind w:firstLine="1920" w:firstLineChars="600"/>
        <w:rPr>
          <w:rFonts w:hint="eastAsia"/>
          <w:strike w:val="0"/>
          <w:dstrike w:val="0"/>
          <w:lang w:val="en-US" w:eastAsia="zh-CN"/>
        </w:rPr>
      </w:pPr>
      <w:r>
        <w:rPr>
          <w:rFonts w:hint="eastAsia"/>
          <w:strike w:val="0"/>
          <w:dstrike w:val="0"/>
          <w:lang w:val="en-US" w:eastAsia="zh-CN"/>
        </w:rPr>
        <w:t>马  勇  市水土保持工作站站长</w:t>
      </w:r>
    </w:p>
    <w:p>
      <w:pPr>
        <w:bidi w:val="0"/>
        <w:ind w:firstLine="1920" w:firstLineChars="600"/>
        <w:rPr>
          <w:rFonts w:hint="eastAsia"/>
          <w:strike w:val="0"/>
          <w:dstrike w:val="0"/>
          <w:lang w:val="en-US" w:eastAsia="zh-CN"/>
        </w:rPr>
      </w:pPr>
      <w:r>
        <w:rPr>
          <w:rFonts w:hint="eastAsia"/>
          <w:strike w:val="0"/>
          <w:dstrike w:val="0"/>
          <w:lang w:val="en-US" w:eastAsia="zh-CN"/>
        </w:rPr>
        <w:t>张启龙  市河湖与水旱灾害防御中心主任</w:t>
      </w:r>
    </w:p>
    <w:p>
      <w:pPr>
        <w:bidi w:val="0"/>
        <w:ind w:firstLine="1920" w:firstLineChars="600"/>
        <w:rPr>
          <w:rFonts w:hint="eastAsia"/>
          <w:strike w:val="0"/>
          <w:dstrike w:val="0"/>
          <w:lang w:val="en-US" w:eastAsia="zh-CN"/>
        </w:rPr>
      </w:pPr>
      <w:r>
        <w:rPr>
          <w:rFonts w:hint="eastAsia"/>
          <w:strike w:val="0"/>
          <w:dstrike w:val="0"/>
          <w:lang w:val="en-US" w:eastAsia="zh-CN"/>
        </w:rPr>
        <w:t>郝银凤  市水资源服务中心主任</w:t>
      </w:r>
    </w:p>
    <w:p>
      <w:pPr>
        <w:bidi w:val="0"/>
        <w:ind w:firstLine="1920" w:firstLineChars="600"/>
        <w:rPr>
          <w:rFonts w:hint="eastAsia"/>
          <w:lang w:val="en-US" w:eastAsia="zh-CN"/>
        </w:rPr>
      </w:pPr>
      <w:r>
        <w:rPr>
          <w:rFonts w:hint="eastAsia"/>
          <w:lang w:val="en-US" w:eastAsia="zh-CN"/>
        </w:rPr>
        <w:t xml:space="preserve">吴  蒙  </w:t>
      </w:r>
      <w:r>
        <w:rPr>
          <w:rFonts w:hint="eastAsia"/>
          <w:spacing w:val="-5"/>
          <w:sz w:val="32"/>
          <w:lang w:val="en-US" w:eastAsia="zh-CN"/>
        </w:rPr>
        <w:t>市水利发展和工程质量监督服务中心主任</w:t>
      </w:r>
    </w:p>
    <w:p>
      <w:pPr>
        <w:bidi w:val="0"/>
        <w:rPr>
          <w:rFonts w:hint="eastAsia"/>
          <w:lang w:val="en-US" w:eastAsia="zh-CN"/>
        </w:rPr>
      </w:pPr>
      <w:r>
        <w:rPr>
          <w:rFonts w:hint="eastAsia"/>
          <w:lang w:val="en-US" w:eastAsia="zh-CN"/>
        </w:rPr>
        <w:t>专项行动领导小组下设办公室，设在水旱灾害防御科，承担调度通报、督办交办、警示建议、重点约谈等工作，定期调度掌握排查整治进展情况。</w:t>
      </w:r>
    </w:p>
    <w:p>
      <w:pPr>
        <w:bidi w:val="0"/>
        <w:rPr>
          <w:rFonts w:hint="default"/>
          <w:lang w:val="en-US" w:eastAsia="zh-CN"/>
        </w:rPr>
      </w:pPr>
      <w:r>
        <w:rPr>
          <w:rStyle w:val="28"/>
          <w:rFonts w:hint="eastAsia"/>
          <w:lang w:val="en-US" w:eastAsia="zh-CN"/>
        </w:rPr>
        <w:t>（三）加强宣传培训。</w:t>
      </w:r>
      <w:r>
        <w:rPr>
          <w:rFonts w:hint="eastAsia"/>
          <w:lang w:val="en-US" w:eastAsia="zh-CN"/>
        </w:rPr>
        <w:t>以“宣传教育培训提升年”活动为契机，开展领导干部学法用法宣传培训教育活动，各区、各科室、各二级单位要利用企业自查自改阶段的时间，集中对监管人员、执法人员开展安全生产专题培训，重点学习重大事故隐患判定标准、执法检查事项及相关法律法规，提高专业素养和法治素养，切实提升发现问题和解决问题的能力水平。</w:t>
      </w:r>
    </w:p>
    <w:p>
      <w:pPr>
        <w:rPr>
          <w:rFonts w:hint="eastAsia"/>
          <w:highlight w:val="none"/>
          <w:lang w:val="en-US" w:eastAsia="zh-CN"/>
        </w:rPr>
      </w:pPr>
      <w:r>
        <w:rPr>
          <w:rStyle w:val="28"/>
          <w:rFonts w:hint="eastAsia"/>
          <w:highlight w:val="none"/>
          <w:lang w:val="en-US" w:eastAsia="zh-CN"/>
        </w:rPr>
        <w:t>（四）加强信息报送。</w:t>
      </w:r>
      <w:r>
        <w:rPr>
          <w:rFonts w:hint="eastAsia"/>
          <w:highlight w:val="none"/>
          <w:lang w:val="en-US" w:eastAsia="zh-CN"/>
        </w:rPr>
        <w:t>自文件印发之日起，各区、各监督责任科室每周五将附件2、3、4报送至市水务局水旱灾害防御科。</w:t>
      </w:r>
    </w:p>
    <w:p>
      <w:pPr>
        <w:pStyle w:val="2"/>
        <w:rPr>
          <w:rFonts w:hint="default"/>
          <w:lang w:val="en-US" w:eastAsia="zh-CN"/>
        </w:rPr>
        <w:sectPr>
          <w:footerReference r:id="rId5" w:type="default"/>
          <w:pgSz w:w="11906" w:h="16838"/>
          <w:pgMar w:top="2098" w:right="1474" w:bottom="1984" w:left="1587" w:header="851" w:footer="992" w:gutter="0"/>
          <w:pgNumType w:fmt="decimal"/>
          <w:cols w:space="0" w:num="1"/>
          <w:rtlGutter w:val="0"/>
          <w:docGrid w:type="lines" w:linePitch="456" w:charSpace="0"/>
        </w:sectPr>
      </w:pPr>
    </w:p>
    <w:p>
      <w:pPr>
        <w:pStyle w:val="5"/>
        <w:bidi w:val="0"/>
        <w:ind w:left="0" w:leftChars="0" w:firstLine="0" w:firstLineChars="0"/>
        <w:rPr>
          <w:rFonts w:hint="default"/>
          <w:lang w:val="en-US" w:eastAsia="zh-CN"/>
        </w:rPr>
      </w:pPr>
      <w:r>
        <w:rPr>
          <w:rFonts w:hint="default"/>
          <w:lang w:val="en-US" w:eastAsia="zh-CN"/>
        </w:rPr>
        <w:t>附件1</w:t>
      </w:r>
    </w:p>
    <w:p>
      <w:pPr>
        <w:pStyle w:val="7"/>
        <w:bidi w:val="0"/>
        <w:rPr>
          <w:rFonts w:hint="default"/>
          <w:lang w:val="en-US" w:eastAsia="zh-CN"/>
        </w:rPr>
      </w:pPr>
      <w:r>
        <w:rPr>
          <w:rFonts w:hint="default"/>
          <w:lang w:val="en-US" w:eastAsia="zh-CN"/>
        </w:rPr>
        <w:t>水利工程生产安全重大事故隐患判定标准</w:t>
      </w:r>
    </w:p>
    <w:p>
      <w:pPr>
        <w:pStyle w:val="3"/>
        <w:rPr>
          <w:rFonts w:hint="default"/>
          <w:lang w:val="en-US" w:eastAsia="zh-CN"/>
        </w:rPr>
      </w:pPr>
    </w:p>
    <w:p>
      <w:pPr>
        <w:bidi w:val="0"/>
        <w:rPr>
          <w:rFonts w:hint="default"/>
          <w:lang w:val="en-US" w:eastAsia="zh-CN"/>
        </w:rPr>
      </w:pPr>
      <w:r>
        <w:rPr>
          <w:rFonts w:hint="default"/>
          <w:lang w:val="en-US" w:eastAsia="zh-CN"/>
        </w:rPr>
        <w:t>1 总则</w:t>
      </w:r>
    </w:p>
    <w:p>
      <w:pPr>
        <w:bidi w:val="0"/>
        <w:rPr>
          <w:rFonts w:hint="default"/>
          <w:lang w:val="en-US" w:eastAsia="zh-CN"/>
        </w:rPr>
      </w:pPr>
      <w:r>
        <w:rPr>
          <w:rFonts w:hint="default"/>
          <w:lang w:val="en-US" w:eastAsia="zh-CN"/>
        </w:rPr>
        <w:t>1.1 为科学判定水利工程生产安全重大事故隐患，防范重、特大生产事故的发生，根据《中华人民共和国安全生产法》《水利工程建设安全生产管理规定》等法律法规，制定本标准。</w:t>
      </w:r>
    </w:p>
    <w:p>
      <w:pPr>
        <w:bidi w:val="0"/>
        <w:rPr>
          <w:rFonts w:hint="default"/>
          <w:lang w:val="en-US" w:eastAsia="zh-CN"/>
        </w:rPr>
      </w:pPr>
      <w:r>
        <w:rPr>
          <w:rFonts w:hint="default"/>
          <w:lang w:val="en-US" w:eastAsia="zh-CN"/>
        </w:rPr>
        <w:t>1.2 本标准适用于水利工程建设期和运行管理期重大事故隐患判定。</w:t>
      </w:r>
    </w:p>
    <w:p>
      <w:pPr>
        <w:bidi w:val="0"/>
        <w:rPr>
          <w:rFonts w:hint="default"/>
          <w:lang w:val="en-US" w:eastAsia="zh-CN"/>
        </w:rPr>
      </w:pPr>
      <w:r>
        <w:rPr>
          <w:rFonts w:hint="default"/>
          <w:lang w:val="en-US" w:eastAsia="zh-CN"/>
        </w:rPr>
        <w:t>1.3 水利工程建设各参建单位和水利工程运行管理单位是重大事故隐患排查治理的主体。</w:t>
      </w:r>
    </w:p>
    <w:p>
      <w:pPr>
        <w:bidi w:val="0"/>
        <w:rPr>
          <w:rFonts w:hint="default"/>
          <w:lang w:val="en-US" w:eastAsia="zh-CN"/>
        </w:rPr>
      </w:pPr>
      <w:r>
        <w:rPr>
          <w:rFonts w:hint="default"/>
          <w:lang w:val="en-US" w:eastAsia="zh-CN"/>
        </w:rPr>
        <w:t>1.4 水行政主管部门和流域管理机构在安全生产监督检查过程中可依有关法律法规、技术标准和本标准判定重大事故隐患。</w:t>
      </w:r>
    </w:p>
    <w:p>
      <w:pPr>
        <w:bidi w:val="0"/>
        <w:rPr>
          <w:rFonts w:hint="default"/>
          <w:lang w:val="en-US" w:eastAsia="zh-CN"/>
        </w:rPr>
      </w:pPr>
      <w:r>
        <w:rPr>
          <w:rFonts w:hint="default"/>
          <w:lang w:val="en-US" w:eastAsia="zh-CN"/>
        </w:rPr>
        <w:t>1.5 重大事故隐患判定可依据本标准直接判定。</w:t>
      </w:r>
    </w:p>
    <w:p>
      <w:pPr>
        <w:bidi w:val="0"/>
        <w:rPr>
          <w:rFonts w:hint="default"/>
          <w:lang w:val="en-US" w:eastAsia="zh-CN"/>
        </w:rPr>
      </w:pPr>
      <w:r>
        <w:rPr>
          <w:rFonts w:hint="default"/>
          <w:lang w:val="en-US" w:eastAsia="zh-CN"/>
        </w:rPr>
        <w:t>1.6 水利工程建设各参建单位和水利工程运行管理单位可根据判定清单</w:t>
      </w:r>
      <w:r>
        <w:rPr>
          <w:rFonts w:hint="eastAsia"/>
          <w:lang w:val="en-US" w:eastAsia="zh-CN"/>
        </w:rPr>
        <w:t>（</w:t>
      </w:r>
      <w:r>
        <w:rPr>
          <w:rFonts w:hint="default"/>
          <w:lang w:val="en-US" w:eastAsia="zh-CN"/>
        </w:rPr>
        <w:t>指南</w:t>
      </w:r>
      <w:r>
        <w:rPr>
          <w:rFonts w:hint="eastAsia"/>
          <w:lang w:val="en-US" w:eastAsia="zh-CN"/>
        </w:rPr>
        <w:t>）</w:t>
      </w:r>
      <w:r>
        <w:rPr>
          <w:rFonts w:hint="default"/>
          <w:lang w:val="en-US" w:eastAsia="zh-CN"/>
        </w:rPr>
        <w:t>所列隐患的危害程度，依照有关法律法规和技术标准，结合本单位和工程实际，在本标准的基础上增补重大事故隐患内容。</w:t>
      </w:r>
    </w:p>
    <w:p>
      <w:pPr>
        <w:bidi w:val="0"/>
        <w:rPr>
          <w:rFonts w:hint="default"/>
          <w:lang w:val="en-US" w:eastAsia="zh-CN"/>
        </w:rPr>
      </w:pPr>
      <w:r>
        <w:rPr>
          <w:rFonts w:hint="default"/>
          <w:lang w:val="en-US" w:eastAsia="zh-CN"/>
        </w:rPr>
        <w:t>2 判定要求</w:t>
      </w:r>
    </w:p>
    <w:p>
      <w:pPr>
        <w:bidi w:val="0"/>
        <w:rPr>
          <w:rFonts w:hint="default"/>
          <w:lang w:val="en-US" w:eastAsia="zh-CN"/>
        </w:rPr>
      </w:pPr>
      <w:r>
        <w:rPr>
          <w:rFonts w:hint="default"/>
          <w:lang w:val="en-US" w:eastAsia="zh-CN"/>
        </w:rPr>
        <w:t>2.1 重大事故隐患判定前应认真查阅工程有关资料和记录，并进行现场核实。</w:t>
      </w:r>
    </w:p>
    <w:p>
      <w:pPr>
        <w:bidi w:val="0"/>
        <w:rPr>
          <w:rFonts w:hint="default"/>
          <w:lang w:val="en-US" w:eastAsia="zh-CN"/>
        </w:rPr>
      </w:pPr>
      <w:r>
        <w:rPr>
          <w:rFonts w:hint="default"/>
          <w:lang w:val="en-US" w:eastAsia="zh-CN"/>
        </w:rPr>
        <w:t>2.2 对于涉及面较广、复杂程度较高的重大事故隐患，水利工程建设各参建单位和水利工程运行管理单位可进行集体讨论或组织专家论证。</w:t>
      </w:r>
    </w:p>
    <w:p>
      <w:pPr>
        <w:bidi w:val="0"/>
        <w:rPr>
          <w:rFonts w:hint="default"/>
          <w:lang w:val="en-US" w:eastAsia="zh-CN"/>
        </w:rPr>
      </w:pPr>
      <w:r>
        <w:rPr>
          <w:rFonts w:hint="default"/>
          <w:lang w:val="en-US" w:eastAsia="zh-CN"/>
        </w:rPr>
        <w:t>2.3 重大事故隐患判定后，应当明确重大事故隐患的治理措施、治理时限以及治理前应采取的防范措施。</w:t>
      </w:r>
    </w:p>
    <w:p>
      <w:pPr>
        <w:bidi w:val="0"/>
        <w:rPr>
          <w:rFonts w:hint="default"/>
          <w:lang w:val="en-US" w:eastAsia="zh-CN"/>
        </w:rPr>
      </w:pPr>
      <w:r>
        <w:rPr>
          <w:rFonts w:hint="default"/>
          <w:lang w:val="en-US" w:eastAsia="zh-CN"/>
        </w:rPr>
        <w:t>3 重大事故隐患判定</w:t>
      </w:r>
    </w:p>
    <w:p>
      <w:pPr>
        <w:bidi w:val="0"/>
        <w:rPr>
          <w:rFonts w:hint="default"/>
          <w:lang w:val="en-US" w:eastAsia="zh-CN"/>
        </w:rPr>
      </w:pPr>
      <w:r>
        <w:rPr>
          <w:rFonts w:hint="default"/>
          <w:lang w:val="en-US" w:eastAsia="zh-CN"/>
        </w:rPr>
        <w:t>3.1水利工程建设项目，符合附表1《水利工程建设项目生产安全重大事故隐患直接判定清单（指南）》中的任何一条要素的，可判定为重大事故隐患。</w:t>
      </w:r>
    </w:p>
    <w:p>
      <w:pPr>
        <w:bidi w:val="0"/>
        <w:rPr>
          <w:rFonts w:hint="default"/>
          <w:lang w:val="en-US" w:eastAsia="zh-CN"/>
        </w:rPr>
      </w:pPr>
      <w:r>
        <w:rPr>
          <w:rFonts w:hint="default"/>
          <w:lang w:val="en-US" w:eastAsia="zh-CN"/>
        </w:rPr>
        <w:t>3.2水利工程运行管理，符合附表2《水利工程运行管理生产安全重大事故隐患直接判定清单（指南）》中的任何一条要素的，可判定为重大事故隐患。</w:t>
      </w:r>
    </w:p>
    <w:p>
      <w:pPr>
        <w:bidi w:val="0"/>
        <w:rPr>
          <w:rFonts w:hint="default"/>
          <w:lang w:val="en-US" w:eastAsia="zh-CN"/>
        </w:rPr>
      </w:pPr>
      <w:r>
        <w:rPr>
          <w:rFonts w:hint="default"/>
          <w:lang w:val="en-US" w:eastAsia="zh-CN"/>
        </w:rPr>
        <w:t>4 附则</w:t>
      </w:r>
    </w:p>
    <w:p>
      <w:pPr>
        <w:pStyle w:val="3"/>
        <w:rPr>
          <w:rFonts w:hint="default"/>
          <w:lang w:val="en-US" w:eastAsia="zh-CN"/>
        </w:rPr>
      </w:pPr>
      <w:r>
        <w:rPr>
          <w:rFonts w:hint="default"/>
          <w:lang w:val="en-US" w:eastAsia="zh-CN"/>
        </w:rPr>
        <w:t>本标准由水利部解释，自发布之日起施行。</w:t>
      </w:r>
    </w:p>
    <w:p>
      <w:pPr>
        <w:pStyle w:val="3"/>
        <w:rPr>
          <w:rFonts w:hint="default"/>
          <w:lang w:val="en-US" w:eastAsia="zh-CN"/>
        </w:rPr>
      </w:pPr>
    </w:p>
    <w:p>
      <w:pPr>
        <w:bidi w:val="0"/>
        <w:rPr>
          <w:rFonts w:hint="default"/>
          <w:lang w:val="en-US" w:eastAsia="zh-CN"/>
        </w:rPr>
      </w:pPr>
      <w:r>
        <w:rPr>
          <w:rFonts w:hint="default"/>
          <w:lang w:val="en-US" w:eastAsia="zh-CN"/>
        </w:rPr>
        <w:t>附表：1.</w:t>
      </w:r>
      <w:r>
        <w:rPr>
          <w:rFonts w:hint="eastAsia"/>
          <w:lang w:val="en-US" w:eastAsia="zh-CN"/>
        </w:rPr>
        <w:t xml:space="preserve"> </w:t>
      </w:r>
      <w:r>
        <w:rPr>
          <w:rFonts w:hint="default"/>
          <w:lang w:val="en-US" w:eastAsia="zh-CN"/>
        </w:rPr>
        <w:t>水利工程建设项目生产安全重大事故隐患判定清</w:t>
      </w:r>
    </w:p>
    <w:p>
      <w:pPr>
        <w:bidi w:val="0"/>
        <w:ind w:firstLine="1920" w:firstLineChars="600"/>
        <w:rPr>
          <w:rFonts w:hint="default"/>
          <w:lang w:val="en-US" w:eastAsia="zh-CN"/>
        </w:rPr>
      </w:pPr>
      <w:r>
        <w:rPr>
          <w:rFonts w:hint="default"/>
          <w:lang w:val="en-US" w:eastAsia="zh-CN"/>
        </w:rPr>
        <w:t>单（指南）</w:t>
      </w:r>
    </w:p>
    <w:p>
      <w:pPr>
        <w:bidi w:val="0"/>
        <w:ind w:firstLine="1600" w:firstLineChars="50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水利工程运行管理生产安全重大事故隐患直接判</w:t>
      </w:r>
    </w:p>
    <w:p>
      <w:pPr>
        <w:bidi w:val="0"/>
        <w:ind w:firstLine="1920" w:firstLineChars="600"/>
        <w:rPr>
          <w:rFonts w:hint="default"/>
          <w:lang w:val="en-US" w:eastAsia="zh-CN"/>
        </w:rPr>
        <w:sectPr>
          <w:footerReference r:id="rId6"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456" w:charSpace="0"/>
        </w:sectPr>
      </w:pPr>
      <w:r>
        <w:rPr>
          <w:rFonts w:hint="default"/>
          <w:lang w:val="en-US" w:eastAsia="zh-CN"/>
        </w:rPr>
        <w:t>定清单（指南）</w:t>
      </w:r>
    </w:p>
    <w:p>
      <w:pPr>
        <w:pStyle w:val="5"/>
        <w:bidi w:val="0"/>
        <w:ind w:left="0" w:leftChars="0" w:firstLine="0" w:firstLineChars="0"/>
        <w:rPr>
          <w:rFonts w:ascii="仿宋_GB2312" w:hAnsi="仿宋_GB2312" w:eastAsia="仿宋_GB2312" w:cs="仿宋_GB2312"/>
          <w:sz w:val="28"/>
          <w:szCs w:val="32"/>
        </w:rPr>
      </w:pPr>
      <w:r>
        <w:rPr>
          <w:rFonts w:hint="eastAsia" w:ascii="黑体" w:hAnsi="黑体" w:eastAsia="黑体" w:cs="黑体"/>
          <w:sz w:val="28"/>
          <w:szCs w:val="32"/>
        </w:rPr>
        <w:t>附表</w:t>
      </w:r>
      <w:r>
        <w:rPr>
          <w:rStyle w:val="24"/>
          <w:rFonts w:hint="eastAsia"/>
          <w:bCs/>
        </w:rPr>
        <w:t>1</w:t>
      </w:r>
    </w:p>
    <w:p>
      <w:pPr>
        <w:pStyle w:val="7"/>
        <w:bidi w:val="0"/>
        <w:rPr>
          <w:rFonts w:hint="eastAsia"/>
          <w:lang w:val="en-US" w:eastAsia="zh-CN"/>
        </w:rPr>
      </w:pPr>
      <w:r>
        <w:rPr>
          <w:rFonts w:hint="eastAsia"/>
          <w:lang w:val="en-US" w:eastAsia="zh-CN"/>
        </w:rPr>
        <w:t>水利工程建设项目生产安全重大事故隐患清单（指南）</w:t>
      </w:r>
    </w:p>
    <w:tbl>
      <w:tblPr>
        <w:tblStyle w:val="19"/>
        <w:tblW w:w="146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67"/>
        <w:gridCol w:w="993"/>
        <w:gridCol w:w="1275"/>
        <w:gridCol w:w="1197"/>
        <w:gridCol w:w="5324"/>
        <w:gridCol w:w="1141"/>
        <w:gridCol w:w="41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67" w:hRule="atLeast"/>
          <w:tblHeader/>
          <w:jc w:val="center"/>
        </w:trPr>
        <w:tc>
          <w:tcPr>
            <w:tcW w:w="56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sz w:val="24"/>
                <w:szCs w:val="24"/>
              </w:rPr>
              <w:t>序号</w:t>
            </w:r>
          </w:p>
        </w:tc>
        <w:tc>
          <w:tcPr>
            <w:tcW w:w="993"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类别</w:t>
            </w: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管理环节</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隐患编号</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隐患内容</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易引发</w:t>
            </w:r>
          </w:p>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事故类型</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判定依据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775" w:hRule="atLeast"/>
          <w:jc w:val="center"/>
        </w:trPr>
        <w:tc>
          <w:tcPr>
            <w:tcW w:w="56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w:t>
            </w:r>
          </w:p>
        </w:tc>
        <w:tc>
          <w:tcPr>
            <w:tcW w:w="993"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基础管理</w:t>
            </w: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方案管理</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SJ-J001</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施工围堰、水上作业、高边坡、地下暗挖、沉井工程等危险性较大的单项工程无专项施工方案或不符合工程建设强制性标准；超过一定规模的危险性较大工程的专项施工方案未组织专家论证、审查；未按批准的专项施工方案组织实施或擅自调整专项施工方案</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w:t>
            </w:r>
          </w:p>
        </w:tc>
        <w:tc>
          <w:tcPr>
            <w:tcW w:w="4110"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水利部令第26号，第二十三条；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lang w:val="en-US" w:eastAsia="zh-CN"/>
              </w:rPr>
            </w:pPr>
            <w:r>
              <w:rPr>
                <w:rFonts w:hint="eastAsia" w:ascii="仿宋" w:hAnsi="仿宋" w:eastAsia="仿宋" w:cs="仿宋_GB2312"/>
                <w:b w:val="0"/>
                <w:bCs w:val="0"/>
                <w:sz w:val="24"/>
                <w:szCs w:val="24"/>
              </w:rPr>
              <w:t>SL 721-2015，第7.3.1条、第7.3.9条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65" w:hRule="atLeast"/>
          <w:jc w:val="center"/>
        </w:trPr>
        <w:tc>
          <w:tcPr>
            <w:tcW w:w="56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2</w:t>
            </w:r>
          </w:p>
        </w:tc>
        <w:tc>
          <w:tcPr>
            <w:tcW w:w="993" w:type="dxa"/>
            <w:vMerge w:val="restart"/>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临时工程</w:t>
            </w:r>
          </w:p>
        </w:tc>
        <w:tc>
          <w:tcPr>
            <w:tcW w:w="1275"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营地及施工设施建设</w:t>
            </w:r>
          </w:p>
        </w:tc>
        <w:tc>
          <w:tcPr>
            <w:tcW w:w="119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SJ-J002</w:t>
            </w:r>
          </w:p>
        </w:tc>
        <w:tc>
          <w:tcPr>
            <w:tcW w:w="5324"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施工工厂区、施工（建设）管理及生活区、危险化学品仓库布置在洪水、雪崩、滑坡、泥石流、塌方及危石等危险区域</w:t>
            </w:r>
          </w:p>
        </w:tc>
        <w:tc>
          <w:tcPr>
            <w:tcW w:w="1141"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w:t>
            </w:r>
          </w:p>
        </w:tc>
        <w:tc>
          <w:tcPr>
            <w:tcW w:w="4110"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303-2017，第7.2.7条;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398-2007，第3.2.2条第2款;</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lang w:val="en-US" w:eastAsia="zh-CN"/>
              </w:rPr>
            </w:pPr>
            <w:r>
              <w:rPr>
                <w:rFonts w:hint="eastAsia" w:ascii="仿宋" w:hAnsi="仿宋" w:eastAsia="仿宋" w:cs="仿宋_GB2312"/>
                <w:b w:val="0"/>
                <w:bCs w:val="0"/>
                <w:sz w:val="24"/>
                <w:szCs w:val="24"/>
              </w:rPr>
              <w:t>SL 714-2015，第3.1.3条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745" w:hRule="atLeast"/>
          <w:jc w:val="center"/>
        </w:trPr>
        <w:tc>
          <w:tcPr>
            <w:tcW w:w="56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3</w:t>
            </w:r>
          </w:p>
        </w:tc>
        <w:tc>
          <w:tcPr>
            <w:tcW w:w="993" w:type="dxa"/>
            <w:vMerge w:val="continue"/>
            <w:tcBorders>
              <w:tl2br w:val="nil"/>
              <w:tr2bl w:val="nil"/>
            </w:tcBorders>
            <w:vAlign w:val="center"/>
          </w:tcPr>
          <w:p>
            <w:pPr>
              <w:pStyle w:val="29"/>
              <w:keepNext w:val="0"/>
              <w:keepLines w:val="0"/>
              <w:pageBreakBefore w:val="0"/>
              <w:widowControl/>
              <w:numPr>
                <w:ilvl w:val="0"/>
                <w:numId w:val="2"/>
              </w:numPr>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p>
        </w:tc>
        <w:tc>
          <w:tcPr>
            <w:tcW w:w="1275"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临时设施</w:t>
            </w:r>
          </w:p>
        </w:tc>
        <w:tc>
          <w:tcPr>
            <w:tcW w:w="119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SJ-J003</w:t>
            </w:r>
          </w:p>
        </w:tc>
        <w:tc>
          <w:tcPr>
            <w:tcW w:w="5324"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宿舍、办公用房、厨房操作间、易燃易爆危险品库等消防重点部位未按规定设置消防设施，安全距离不符合要求且未采取有效防护措施，建筑构件的燃烧性能等级未达到 A 级。宿舍、办公用房采用金属夹芯板材时，其芯材的燃烧性能等级未达到 A 级</w:t>
            </w:r>
          </w:p>
        </w:tc>
        <w:tc>
          <w:tcPr>
            <w:tcW w:w="1141"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火灾</w:t>
            </w:r>
          </w:p>
        </w:tc>
        <w:tc>
          <w:tcPr>
            <w:tcW w:w="4110"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eastAsia" w:ascii="仿宋" w:hAnsi="仿宋" w:eastAsia="仿宋" w:cs="仿宋_GB2312"/>
                <w:b w:val="0"/>
                <w:bCs w:val="0"/>
                <w:sz w:val="24"/>
                <w:szCs w:val="24"/>
              </w:rPr>
            </w:pPr>
            <w:r>
              <w:rPr>
                <w:rFonts w:hint="eastAsia" w:ascii="仿宋" w:hAnsi="仿宋" w:eastAsia="仿宋" w:cs="仿宋_GB2312"/>
                <w:b w:val="0"/>
                <w:bCs w:val="0"/>
                <w:sz w:val="24"/>
                <w:szCs w:val="24"/>
              </w:rPr>
              <w:t>GB 50720-2011，第3.2.1条第1款、第3.2.2条、第4.2.1条第1款；</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398-2007，第3.2.1条、第3.2.2条第4款、第4.2.2条;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714-2015，第3.1.8条;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lang w:val="en-US" w:eastAsia="zh-CN"/>
              </w:rPr>
            </w:pPr>
            <w:r>
              <w:rPr>
                <w:rFonts w:hint="eastAsia" w:ascii="仿宋" w:hAnsi="仿宋" w:eastAsia="仿宋" w:cs="仿宋_GB2312"/>
                <w:b w:val="0"/>
                <w:bCs w:val="0"/>
                <w:sz w:val="24"/>
                <w:szCs w:val="24"/>
              </w:rPr>
              <w:t>SL 721-2015，第7.4.4条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4</w:t>
            </w:r>
          </w:p>
        </w:tc>
        <w:tc>
          <w:tcPr>
            <w:tcW w:w="993" w:type="dxa"/>
            <w:vMerge w:val="continue"/>
            <w:tcBorders>
              <w:tl2br w:val="nil"/>
              <w:tr2bl w:val="nil"/>
            </w:tcBorders>
            <w:vAlign w:val="center"/>
          </w:tcPr>
          <w:p>
            <w:pPr>
              <w:pStyle w:val="29"/>
              <w:keepNext w:val="0"/>
              <w:keepLines w:val="0"/>
              <w:pageBreakBefore w:val="0"/>
              <w:widowControl/>
              <w:numPr>
                <w:ilvl w:val="0"/>
                <w:numId w:val="2"/>
              </w:numPr>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p>
        </w:tc>
        <w:tc>
          <w:tcPr>
            <w:tcW w:w="1275"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围堰工程</w:t>
            </w:r>
          </w:p>
        </w:tc>
        <w:tc>
          <w:tcPr>
            <w:tcW w:w="119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SJ-J004</w:t>
            </w:r>
          </w:p>
        </w:tc>
        <w:tc>
          <w:tcPr>
            <w:tcW w:w="5324"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围堰不符合规范和设计要求，围堰位移及渗流量超过设计要求</w:t>
            </w:r>
          </w:p>
        </w:tc>
        <w:tc>
          <w:tcPr>
            <w:tcW w:w="1141"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坍塌、淹溺</w:t>
            </w:r>
          </w:p>
        </w:tc>
        <w:tc>
          <w:tcPr>
            <w:tcW w:w="4110"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303-2017，第2.4.20条；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398-2007，第3.7.5条；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lang w:val="en-US" w:eastAsia="zh-CN"/>
              </w:rPr>
            </w:pPr>
            <w:r>
              <w:rPr>
                <w:rFonts w:hint="eastAsia" w:ascii="仿宋" w:hAnsi="仿宋" w:eastAsia="仿宋" w:cs="仿宋_GB2312"/>
                <w:b w:val="0"/>
                <w:bCs w:val="0"/>
                <w:sz w:val="24"/>
                <w:szCs w:val="24"/>
              </w:rPr>
              <w:t>SL 645-2013，第8.0.4条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5</w:t>
            </w:r>
          </w:p>
        </w:tc>
        <w:tc>
          <w:tcPr>
            <w:tcW w:w="993" w:type="dxa"/>
            <w:vMerge w:val="restart"/>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专项工程</w:t>
            </w:r>
          </w:p>
        </w:tc>
        <w:tc>
          <w:tcPr>
            <w:tcW w:w="1275"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临时用电</w:t>
            </w:r>
          </w:p>
        </w:tc>
        <w:tc>
          <w:tcPr>
            <w:tcW w:w="119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SJ-J005</w:t>
            </w:r>
          </w:p>
        </w:tc>
        <w:tc>
          <w:tcPr>
            <w:tcW w:w="5324"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施工现场专用的电源中性点直接接地的低压配电系统未采用TN-S接零保护系统；发电机组电源未与其他电源互相闭锁，并列运行；开关箱未按规定安装漏电保护器</w:t>
            </w:r>
          </w:p>
        </w:tc>
        <w:tc>
          <w:tcPr>
            <w:tcW w:w="1141"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触电、火灾</w:t>
            </w:r>
          </w:p>
        </w:tc>
        <w:tc>
          <w:tcPr>
            <w:tcW w:w="4110"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GB 50194-2014，第4.0.4条；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lang w:val="en-US" w:eastAsia="zh-CN"/>
              </w:rPr>
            </w:pPr>
            <w:r>
              <w:rPr>
                <w:rFonts w:hint="eastAsia" w:ascii="仿宋" w:hAnsi="仿宋" w:eastAsia="仿宋" w:cs="仿宋_GB2312"/>
                <w:b w:val="0"/>
                <w:bCs w:val="0"/>
                <w:sz w:val="24"/>
                <w:szCs w:val="24"/>
              </w:rPr>
              <w:t>SL 714-2015，第3.7.3条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170" w:hRule="atLeast"/>
          <w:jc w:val="center"/>
        </w:trPr>
        <w:tc>
          <w:tcPr>
            <w:tcW w:w="56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6</w:t>
            </w:r>
          </w:p>
        </w:tc>
        <w:tc>
          <w:tcPr>
            <w:tcW w:w="993" w:type="dxa"/>
            <w:vMerge w:val="continue"/>
            <w:tcBorders>
              <w:tl2br w:val="nil"/>
              <w:tr2bl w:val="nil"/>
            </w:tcBorders>
            <w:vAlign w:val="center"/>
          </w:tcPr>
          <w:p>
            <w:pPr>
              <w:pStyle w:val="29"/>
              <w:keepNext w:val="0"/>
              <w:keepLines w:val="0"/>
              <w:pageBreakBefore w:val="0"/>
              <w:widowControl/>
              <w:numPr>
                <w:ilvl w:val="0"/>
                <w:numId w:val="2"/>
              </w:numPr>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p>
        </w:tc>
        <w:tc>
          <w:tcPr>
            <w:tcW w:w="1275"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脚手架</w:t>
            </w:r>
          </w:p>
        </w:tc>
        <w:tc>
          <w:tcPr>
            <w:tcW w:w="119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SJ-J006</w:t>
            </w:r>
          </w:p>
        </w:tc>
        <w:tc>
          <w:tcPr>
            <w:tcW w:w="5324"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达到或超过一定规模的作业脚手架和模板支撑脚手架的立杆基础承载力不符合专项施工方案的要求，且已有明显沉降；未按专项施工方案设置立杆纵横间距、水平杆步距，模板支撑架间距偏差值大于±30mm（立杆间距）、±20mm（步距）；立杆采用搭接（作业脚手架顶步距除外）；未按专项施工方案设置连墙件</w:t>
            </w:r>
          </w:p>
        </w:tc>
        <w:tc>
          <w:tcPr>
            <w:tcW w:w="1141"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w:t>
            </w:r>
          </w:p>
        </w:tc>
        <w:tc>
          <w:tcPr>
            <w:tcW w:w="4110"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SL 398-2007，第5.3.3条、第5.3.5条；</w:t>
            </w:r>
          </w:p>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jc w:val="left"/>
              <w:textAlignment w:val="center"/>
              <w:rPr>
                <w:rFonts w:hint="default" w:ascii="仿宋" w:hAnsi="仿宋" w:eastAsia="仿宋" w:cs="仿宋_GB2312"/>
                <w:b w:val="0"/>
                <w:bCs w:val="0"/>
                <w:sz w:val="24"/>
                <w:szCs w:val="24"/>
                <w:lang w:val="en-US" w:eastAsia="zh-CN"/>
              </w:rPr>
            </w:pPr>
            <w:r>
              <w:rPr>
                <w:rFonts w:hint="eastAsia" w:ascii="仿宋" w:hAnsi="仿宋" w:eastAsia="仿宋" w:cs="仿宋_GB2312"/>
                <w:b w:val="0"/>
                <w:bCs w:val="0"/>
                <w:sz w:val="24"/>
                <w:szCs w:val="24"/>
              </w:rPr>
              <w:t>JGJ 130-2011，附表8.2.4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20" w:hRule="atLeast"/>
          <w:jc w:val="center"/>
        </w:trPr>
        <w:tc>
          <w:tcPr>
            <w:tcW w:w="56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7</w:t>
            </w:r>
          </w:p>
        </w:tc>
        <w:tc>
          <w:tcPr>
            <w:tcW w:w="993" w:type="dxa"/>
            <w:vMerge w:val="continue"/>
            <w:tcBorders>
              <w:tl2br w:val="nil"/>
              <w:tr2bl w:val="nil"/>
            </w:tcBorders>
            <w:vAlign w:val="center"/>
          </w:tcPr>
          <w:p>
            <w:pPr>
              <w:pStyle w:val="29"/>
              <w:keepNext w:val="0"/>
              <w:keepLines w:val="0"/>
              <w:pageBreakBefore w:val="0"/>
              <w:widowControl/>
              <w:numPr>
                <w:ilvl w:val="0"/>
                <w:numId w:val="2"/>
              </w:numPr>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p>
        </w:tc>
        <w:tc>
          <w:tcPr>
            <w:tcW w:w="1275"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危险物品</w:t>
            </w:r>
          </w:p>
        </w:tc>
        <w:tc>
          <w:tcPr>
            <w:tcW w:w="1197"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SJ-J007</w:t>
            </w:r>
          </w:p>
        </w:tc>
        <w:tc>
          <w:tcPr>
            <w:tcW w:w="5324"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未经批准，擅自运输、使用、保管和处置雷管炸药等危险物品</w:t>
            </w:r>
          </w:p>
        </w:tc>
        <w:tc>
          <w:tcPr>
            <w:tcW w:w="1141" w:type="dxa"/>
            <w:tcBorders>
              <w:tl2br w:val="nil"/>
              <w:tr2bl w:val="nil"/>
            </w:tcBorders>
            <w:vAlign w:val="center"/>
          </w:tcPr>
          <w:p>
            <w:pPr>
              <w:pStyle w:val="29"/>
              <w:keepNext w:val="0"/>
              <w:keepLines w:val="0"/>
              <w:pageBreakBefore w:val="0"/>
              <w:widowControl/>
              <w:numPr>
                <w:ilvl w:val="0"/>
                <w:numId w:val="0"/>
              </w:numPr>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火药爆炸</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《中华人民共和国安全生产法》第九十七条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8</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起重吊装与运输</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SJ-J008</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机械未经有相应资质的检验检测机构检验合格后投入使用；起重机械未配备荷载、变幅等指示装置和荷载、力矩、高度、行程等限位、限制及连锁装置；同一作业区两台及以上起重设备运行未制定防碰撞方案或未按方案实施，且存在碰撞可能</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起重伤害</w:t>
            </w:r>
          </w:p>
        </w:tc>
        <w:tc>
          <w:tcPr>
            <w:tcW w:w="4110" w:type="dxa"/>
            <w:tcBorders>
              <w:tl2br w:val="nil"/>
              <w:tr2bl w:val="nil"/>
            </w:tcBorders>
            <w:vAlign w:val="center"/>
          </w:tcPr>
          <w:p>
            <w:pPr>
              <w:pStyle w:val="29"/>
              <w:keepNext w:val="0"/>
              <w:keepLines w:val="0"/>
              <w:pageBreakBefore w:val="0"/>
              <w:widowControl/>
              <w:numPr>
                <w:ilvl w:val="0"/>
                <w:numId w:val="3"/>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rPr>
                <w:rFonts w:hint="default" w:ascii="仿宋" w:hAnsi="仿宋" w:eastAsia="仿宋" w:cs="仿宋_GB2312"/>
                <w:sz w:val="24"/>
                <w:szCs w:val="24"/>
              </w:rPr>
            </w:pPr>
            <w:r>
              <w:rPr>
                <w:rFonts w:hint="eastAsia" w:ascii="仿宋" w:hAnsi="仿宋" w:eastAsia="仿宋" w:cs="仿宋_GB2312"/>
                <w:sz w:val="24"/>
                <w:szCs w:val="24"/>
              </w:rPr>
              <w:t>SL 714-2015，第4.2.1条、第4.2.4条、第4.2.5条；</w:t>
            </w:r>
          </w:p>
          <w:p>
            <w:pPr>
              <w:pStyle w:val="29"/>
              <w:keepNext w:val="0"/>
              <w:keepLines w:val="0"/>
              <w:pageBreakBefore w:val="0"/>
              <w:widowControl/>
              <w:numPr>
                <w:ilvl w:val="0"/>
                <w:numId w:val="3"/>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hanging="360" w:firstLineChars="0"/>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721-2015，第9.2.7条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9</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起重吊装与运输</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SJ-J009</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采用临时钢梁、龙门架、天锚起吊闸门、钢管前，未对其结构和吊点进行设计计算、履行审批审查、验收手续，未进行相应的负荷试验；闸门、钢管上的吊耳板、焊缝未经检查检测和强度验算就投入使用</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起重伤害</w:t>
            </w:r>
          </w:p>
        </w:tc>
        <w:tc>
          <w:tcPr>
            <w:tcW w:w="4110" w:type="dxa"/>
            <w:tcBorders>
              <w:tl2br w:val="nil"/>
              <w:tr2bl w:val="nil"/>
            </w:tcBorders>
            <w:vAlign w:val="center"/>
          </w:tcPr>
          <w:p>
            <w:pPr>
              <w:pStyle w:val="29"/>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SL/T 780-2020，第6.1.5条、第6.3.3条、第9.3.1条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10</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起重吊装与运输</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SJ-J010</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隧洞竖（斜）井或沉井、人工挖孔桩井载人（货）提升机械未设置安全装置或安全装置不灵敏</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起重伤害</w:t>
            </w:r>
          </w:p>
        </w:tc>
        <w:tc>
          <w:tcPr>
            <w:tcW w:w="4110" w:type="dxa"/>
            <w:tcBorders>
              <w:tl2br w:val="nil"/>
              <w:tr2bl w:val="nil"/>
            </w:tcBorders>
            <w:vAlign w:val="center"/>
          </w:tcPr>
          <w:p>
            <w:pPr>
              <w:pStyle w:val="29"/>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仿宋" w:hAnsi="仿宋" w:eastAsia="仿宋" w:cs="仿宋_GB2312"/>
                <w:b/>
                <w:snapToGrid w:val="0"/>
                <w:color w:val="000000"/>
                <w:kern w:val="0"/>
                <w:sz w:val="24"/>
                <w:szCs w:val="24"/>
                <w:lang w:val="en-US" w:eastAsia="zh-CN" w:bidi="ar-SA"/>
              </w:rPr>
            </w:pPr>
            <w:r>
              <w:rPr>
                <w:rFonts w:hint="eastAsia" w:ascii="仿宋" w:hAnsi="仿宋" w:eastAsia="仿宋" w:cs="仿宋_GB2312"/>
                <w:b/>
                <w:sz w:val="24"/>
                <w:szCs w:val="24"/>
              </w:rPr>
              <w:t>SL 714-2015，第3.10.10条、第5.3.4条第3款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11</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高边坡、土方开挖</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SJ-J011</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高边坡开挖每梯段开挖完成后未进行安全处理；断层、裂隙、破碎带等不良地质构造的高边坡，未按设计要求及时采取锚喷或加固等支护措施。土方开挖放坡坡度不满足其稳定性要求且未采取加固措施</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w:t>
            </w:r>
          </w:p>
        </w:tc>
        <w:tc>
          <w:tcPr>
            <w:tcW w:w="4110" w:type="dxa"/>
            <w:tcBorders>
              <w:tl2br w:val="nil"/>
              <w:tr2bl w:val="nil"/>
            </w:tcBorders>
            <w:vAlign w:val="center"/>
          </w:tcPr>
          <w:p>
            <w:pPr>
              <w:pStyle w:val="29"/>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399-2007，第3.4.9条、第12.3.8条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12</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隧洞施工</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SJ-J012</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在长隧洞、深埋隧洞、高地应力区和有迹象出现重大不良地质现象，未按规定开展地质超前预报；断层及破碎带缓倾角节理密集带岩溶发育地下水丰富及膨胀岩体地段和高地应力区等不良地质条件洞段开挖未根据地质预报针对其性质和特殊的地质问题制定专项保证安全施工的工程措施。隧洞Ⅳ类、Ⅴ类围岩开挖后，支护未紧跟掌子面</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坍塌、冒顶片帮、透水</w:t>
            </w:r>
          </w:p>
        </w:tc>
        <w:tc>
          <w:tcPr>
            <w:tcW w:w="4110" w:type="dxa"/>
            <w:tcBorders>
              <w:tl2br w:val="nil"/>
              <w:tr2bl w:val="nil"/>
            </w:tcBorders>
            <w:vAlign w:val="center"/>
          </w:tcPr>
          <w:p>
            <w:pPr>
              <w:pStyle w:val="29"/>
              <w:keepNext w:val="0"/>
              <w:keepLines w:val="0"/>
              <w:pageBreakBefore w:val="0"/>
              <w:widowControl/>
              <w:numPr>
                <w:ilvl w:val="0"/>
                <w:numId w:val="4"/>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textAlignment w:val="center"/>
              <w:rPr>
                <w:rFonts w:hint="default" w:ascii="仿宋" w:hAnsi="仿宋" w:eastAsia="仿宋" w:cs="仿宋_GB2312"/>
                <w:sz w:val="24"/>
                <w:szCs w:val="24"/>
              </w:rPr>
            </w:pPr>
            <w:r>
              <w:rPr>
                <w:rFonts w:hint="eastAsia" w:ascii="仿宋" w:hAnsi="仿宋" w:eastAsia="仿宋" w:cs="仿宋_GB2312"/>
                <w:sz w:val="24"/>
                <w:szCs w:val="24"/>
              </w:rPr>
              <w:t>SL 313-2004，第5.1.1条第9款、第5.3.1条；</w:t>
            </w:r>
          </w:p>
          <w:p>
            <w:pPr>
              <w:pStyle w:val="29"/>
              <w:keepNext w:val="0"/>
              <w:keepLines w:val="0"/>
              <w:pageBreakBefore w:val="0"/>
              <w:widowControl/>
              <w:numPr>
                <w:ilvl w:val="0"/>
                <w:numId w:val="4"/>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textAlignment w:val="center"/>
              <w:rPr>
                <w:rFonts w:hint="default" w:ascii="仿宋" w:hAnsi="仿宋" w:eastAsia="仿宋" w:cs="仿宋_GB2312"/>
                <w:sz w:val="24"/>
                <w:szCs w:val="24"/>
              </w:rPr>
            </w:pPr>
            <w:r>
              <w:rPr>
                <w:rFonts w:hint="eastAsia" w:ascii="仿宋" w:hAnsi="仿宋" w:eastAsia="仿宋" w:cs="仿宋_GB2312"/>
                <w:sz w:val="24"/>
                <w:szCs w:val="24"/>
              </w:rPr>
              <w:t>SL 378-2007，第5.8.1条；</w:t>
            </w:r>
          </w:p>
          <w:p>
            <w:pPr>
              <w:pStyle w:val="29"/>
              <w:keepNext w:val="0"/>
              <w:keepLines w:val="0"/>
              <w:pageBreakBefore w:val="0"/>
              <w:widowControl/>
              <w:numPr>
                <w:ilvl w:val="0"/>
                <w:numId w:val="4"/>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hanging="36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714-2015，第5.3.2条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7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13</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隧洞施工</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SJ-J013</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隧洞相向开挖的两端在相距30米以内时装炮作业前，未通知另一端停止工作并退到安全地点，或相向开挖作业两端相距15米时，一端未停止掘进，单向贯通的，或斜（竖）井相向开挖距贯通尚有5米长地段，未采取自上端向下打通的</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坍塌、放炮</w:t>
            </w:r>
          </w:p>
        </w:tc>
        <w:tc>
          <w:tcPr>
            <w:tcW w:w="4110" w:type="dxa"/>
            <w:tcBorders>
              <w:tl2br w:val="nil"/>
              <w:tr2bl w:val="nil"/>
            </w:tcBorders>
            <w:vAlign w:val="center"/>
          </w:tcPr>
          <w:p>
            <w:pPr>
              <w:pStyle w:val="29"/>
              <w:keepNext w:val="0"/>
              <w:keepLines w:val="0"/>
              <w:pageBreakBefore w:val="0"/>
              <w:widowControl/>
              <w:numPr>
                <w:ilvl w:val="0"/>
                <w:numId w:val="5"/>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textAlignment w:val="center"/>
              <w:rPr>
                <w:rFonts w:hint="default" w:ascii="仿宋" w:hAnsi="仿宋" w:eastAsia="仿宋" w:cs="仿宋_GB2312"/>
                <w:b/>
                <w:sz w:val="24"/>
                <w:szCs w:val="24"/>
              </w:rPr>
            </w:pPr>
            <w:r>
              <w:rPr>
                <w:rFonts w:hint="eastAsia" w:ascii="仿宋" w:hAnsi="仿宋" w:eastAsia="仿宋" w:cs="仿宋_GB2312"/>
                <w:b/>
                <w:sz w:val="24"/>
                <w:szCs w:val="24"/>
              </w:rPr>
              <w:t>SL 398-2007，第8.4.17条；</w:t>
            </w:r>
          </w:p>
          <w:p>
            <w:pPr>
              <w:pStyle w:val="29"/>
              <w:keepNext w:val="0"/>
              <w:keepLines w:val="0"/>
              <w:pageBreakBefore w:val="0"/>
              <w:widowControl/>
              <w:numPr>
                <w:ilvl w:val="0"/>
                <w:numId w:val="5"/>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hanging="36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714-2015，第5.3.2条第10款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14</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隧洞施工</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SJ-J014</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洞室施工过程中，未对洞内有毒有害气体进行监测或对存在有毒有害气体未采取有效措施</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火灾、瓦斯爆炸、中毒和窒息</w:t>
            </w:r>
          </w:p>
        </w:tc>
        <w:tc>
          <w:tcPr>
            <w:tcW w:w="4110" w:type="dxa"/>
            <w:tcBorders>
              <w:tl2br w:val="nil"/>
              <w:tr2bl w:val="nil"/>
            </w:tcBorders>
            <w:vAlign w:val="center"/>
          </w:tcPr>
          <w:p>
            <w:pPr>
              <w:pStyle w:val="29"/>
              <w:keepNext w:val="0"/>
              <w:keepLines w:val="0"/>
              <w:pageBreakBefore w:val="0"/>
              <w:widowControl/>
              <w:numPr>
                <w:ilvl w:val="0"/>
                <w:numId w:val="6"/>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textAlignment w:val="center"/>
              <w:rPr>
                <w:rFonts w:hint="default" w:ascii="仿宋" w:hAnsi="仿宋" w:eastAsia="仿宋" w:cs="仿宋_GB2312"/>
                <w:sz w:val="24"/>
                <w:szCs w:val="24"/>
              </w:rPr>
            </w:pPr>
            <w:r>
              <w:rPr>
                <w:rFonts w:hint="eastAsia" w:ascii="仿宋" w:hAnsi="仿宋" w:eastAsia="仿宋" w:cs="仿宋_GB2312"/>
                <w:sz w:val="24"/>
                <w:szCs w:val="24"/>
              </w:rPr>
              <w:t>SL 378-2007，第11.2.8条；</w:t>
            </w:r>
          </w:p>
          <w:p>
            <w:pPr>
              <w:pStyle w:val="29"/>
              <w:keepNext w:val="0"/>
              <w:keepLines w:val="0"/>
              <w:pageBreakBefore w:val="0"/>
              <w:widowControl/>
              <w:numPr>
                <w:ilvl w:val="0"/>
                <w:numId w:val="6"/>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textAlignment w:val="center"/>
              <w:rPr>
                <w:rFonts w:hint="default" w:ascii="仿宋" w:hAnsi="仿宋" w:eastAsia="仿宋"/>
                <w:sz w:val="24"/>
                <w:szCs w:val="24"/>
              </w:rPr>
            </w:pPr>
            <w:r>
              <w:rPr>
                <w:rFonts w:hint="eastAsia" w:ascii="仿宋" w:hAnsi="仿宋" w:eastAsia="仿宋" w:cs="仿宋_GB2312"/>
                <w:sz w:val="24"/>
                <w:szCs w:val="24"/>
              </w:rPr>
              <w:t>SL 401-2007，第2.0.12条；</w:t>
            </w:r>
          </w:p>
          <w:p>
            <w:pPr>
              <w:pStyle w:val="29"/>
              <w:keepNext w:val="0"/>
              <w:keepLines w:val="0"/>
              <w:pageBreakBefore w:val="0"/>
              <w:widowControl/>
              <w:numPr>
                <w:ilvl w:val="0"/>
                <w:numId w:val="6"/>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hanging="36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642-2013，第9.1.1条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15</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模板工程</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SJ-J015</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混凝土拆除模板的期限不符合规定</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b/>
                <w:snapToGrid w:val="0"/>
                <w:color w:val="000000"/>
                <w:kern w:val="0"/>
                <w:sz w:val="24"/>
                <w:szCs w:val="24"/>
                <w:lang w:val="en-US" w:eastAsia="zh-CN" w:bidi="ar-SA"/>
              </w:rPr>
            </w:pPr>
            <w:r>
              <w:rPr>
                <w:rFonts w:hint="eastAsia" w:ascii="仿宋" w:hAnsi="仿宋" w:eastAsia="仿宋" w:cs="仿宋_GB2312"/>
                <w:b/>
                <w:sz w:val="24"/>
                <w:szCs w:val="24"/>
              </w:rPr>
              <w:t>SL 677-2014，第3.6.1条第2款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16</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水上作业</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SJ-J016</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水上作业施工船舶无海事、船检部门核发的有效证书，未设置必要的安全作业区或警戒区，超载航行；挖泥船的安全工作条件不符合船舶使用说明书和设备状况规定</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淹溺</w:t>
            </w:r>
          </w:p>
        </w:tc>
        <w:tc>
          <w:tcPr>
            <w:tcW w:w="4110" w:type="dxa"/>
            <w:tcBorders>
              <w:tl2br w:val="nil"/>
              <w:tr2bl w:val="nil"/>
            </w:tcBorders>
            <w:vAlign w:val="center"/>
          </w:tcPr>
          <w:p>
            <w:pPr>
              <w:pStyle w:val="29"/>
              <w:keepNext w:val="0"/>
              <w:keepLines w:val="0"/>
              <w:pageBreakBefore w:val="0"/>
              <w:widowControl/>
              <w:numPr>
                <w:ilvl w:val="0"/>
                <w:numId w:val="7"/>
              </w:numPr>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Chars="0"/>
              <w:jc w:val="left"/>
              <w:textAlignment w:val="center"/>
              <w:rPr>
                <w:rFonts w:hint="default" w:ascii="仿宋" w:hAnsi="仿宋" w:eastAsia="仿宋" w:cs="仿宋_GB2312"/>
                <w:sz w:val="24"/>
                <w:szCs w:val="24"/>
              </w:rPr>
            </w:pPr>
            <w:r>
              <w:rPr>
                <w:rFonts w:hint="eastAsia" w:ascii="仿宋" w:hAnsi="仿宋" w:eastAsia="仿宋" w:cs="仿宋_GB2312"/>
                <w:sz w:val="24"/>
                <w:szCs w:val="24"/>
              </w:rPr>
              <w:t>SL 17-2014，第5.7.9条；</w:t>
            </w:r>
          </w:p>
          <w:p>
            <w:pPr>
              <w:pStyle w:val="29"/>
              <w:keepNext w:val="0"/>
              <w:keepLines w:val="0"/>
              <w:pageBreakBefore w:val="0"/>
              <w:widowControl/>
              <w:numPr>
                <w:ilvl w:val="0"/>
                <w:numId w:val="7"/>
              </w:numPr>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hanging="36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398-2007，第7.6.1条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17</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设备安装</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SJ-J017</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蜗壳、机坑里衬安装时，搭设的施工平台（组装）未经检查验收投入使用。在机坑中进行电焊、气割作业（如水机室、定子组装、上下机架组装）时，未设置隔离防护平台或铺设防火布，现场未配备消防器材</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坍塌、物体打击</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400-2016，第3.2.8条、第3.4.1条、第5.4.4条、第5.4.5条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18</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设备安装</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SJ-J018</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机组总装调整时，发电机风洞等重点部位未按规定设置值班检查人员，进入人员携带的工器具及材料未经核对登记，现场存留异物</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中毒和窒息</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400-2016，第6.10.8条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19</w:t>
            </w:r>
          </w:p>
        </w:tc>
        <w:tc>
          <w:tcPr>
            <w:tcW w:w="993" w:type="dxa"/>
            <w:vMerge w:val="restart"/>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其他</w:t>
            </w: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防洪度汛</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SJ-J019</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有度汛要求的建设项目未按规定制定度汛方案和超标准洪水应急预案或工程进度不满足度汛要求未制定和采取相应措施</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淹溺</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水利部令第26号，第九条、第二十一条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20</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液氨制冷</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SJ-J020</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氨压机车间控制盘柜与氨压机未分开隔离布置，不符合防火防爆要求，未采用防爆电器，未设置、配备固定式氨气报警仪和便携式氨气检测仪，未设置应急疏散通道并明确标识</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中毒和窒息、其他爆炸</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b/>
                <w:snapToGrid w:val="0"/>
                <w:color w:val="000000"/>
                <w:kern w:val="0"/>
                <w:sz w:val="24"/>
                <w:szCs w:val="24"/>
                <w:lang w:val="en-US" w:eastAsia="zh-CN" w:bidi="ar-SA"/>
              </w:rPr>
            </w:pPr>
            <w:r>
              <w:rPr>
                <w:rFonts w:hint="eastAsia" w:ascii="仿宋" w:hAnsi="仿宋" w:eastAsia="仿宋" w:cs="仿宋_GB2312"/>
                <w:b/>
                <w:sz w:val="24"/>
                <w:szCs w:val="24"/>
              </w:rPr>
              <w:t>SL 714-2015，第7.2.1条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21</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安全防护</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SJ-J021</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排架、井架、施工电梯、大坝廊道、隧洞等出入口和上部有施工作业的通道，未按规定设置防护棚</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物体打击、高处坠落</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 714-2015，第3.2.10条、第3.3.6条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22</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设备检修</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SJ-J022</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混凝土（水泥土、水泥稳定土）拌合机、TBM及盾构设备刀盘检、维修时未切断电源或开关箱未上锁、无人监管</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机械伤害、触电</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SL721-2015，第9.2.6条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50" w:hRule="atLeast"/>
          <w:jc w:val="center"/>
        </w:trPr>
        <w:tc>
          <w:tcPr>
            <w:tcW w:w="567" w:type="dxa"/>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23</w:t>
            </w:r>
          </w:p>
        </w:tc>
        <w:tc>
          <w:tcPr>
            <w:tcW w:w="993" w:type="dxa"/>
            <w:vMerge w:val="continue"/>
            <w:tcBorders>
              <w:tl2br w:val="nil"/>
              <w:tr2bl w:val="nil"/>
            </w:tcBorders>
            <w:vAlign w:val="center"/>
          </w:tcPr>
          <w:p>
            <w:pPr>
              <w:keepNext w:val="0"/>
              <w:keepLines w:val="0"/>
              <w:pageBreakBefore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center"/>
              <w:rPr>
                <w:rFonts w:hint="default" w:ascii="仿宋" w:hAnsi="仿宋" w:eastAsia="仿宋" w:cs="仿宋_GB2312"/>
                <w:b w:val="0"/>
                <w:bCs w:val="0"/>
                <w:sz w:val="24"/>
                <w:szCs w:val="24"/>
              </w:rPr>
            </w:pPr>
          </w:p>
        </w:tc>
        <w:tc>
          <w:tcPr>
            <w:tcW w:w="1275" w:type="dxa"/>
            <w:tcBorders>
              <w:tl2br w:val="nil"/>
              <w:tr2bl w:val="nil"/>
            </w:tcBorders>
            <w:shd w:val="clear" w:color="auto" w:fill="auto"/>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风险管控</w:t>
            </w:r>
          </w:p>
        </w:tc>
        <w:tc>
          <w:tcPr>
            <w:tcW w:w="1197"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SJ-J023</w:t>
            </w:r>
          </w:p>
        </w:tc>
        <w:tc>
          <w:tcPr>
            <w:tcW w:w="5324"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right="0" w:firstLine="0" w:firstLineChars="0"/>
              <w:jc w:val="left"/>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未按规定管控重大危险源和风险等级为重大风险的一般危险源</w:t>
            </w:r>
          </w:p>
        </w:tc>
        <w:tc>
          <w:tcPr>
            <w:tcW w:w="1141"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60" w:lineRule="exact"/>
              <w:ind w:left="0" w:leftChars="0" w:right="0" w:rightChars="0" w:firstLine="0" w:firstLineChars="0"/>
              <w:jc w:val="center"/>
              <w:textAlignment w:val="center"/>
              <w:rPr>
                <w:rFonts w:hint="default" w:ascii="仿宋" w:hAnsi="仿宋" w:eastAsia="仿宋" w:cs="仿宋_GB2312"/>
                <w:b w:val="0"/>
                <w:bCs w:val="0"/>
                <w:sz w:val="24"/>
                <w:szCs w:val="24"/>
              </w:rPr>
            </w:pPr>
            <w:r>
              <w:rPr>
                <w:rFonts w:hint="eastAsia" w:ascii="仿宋" w:hAnsi="仿宋" w:eastAsia="仿宋" w:cs="仿宋_GB2312"/>
                <w:b w:val="0"/>
                <w:bCs w:val="0"/>
                <w:sz w:val="24"/>
                <w:szCs w:val="24"/>
              </w:rPr>
              <w:t>/</w:t>
            </w:r>
          </w:p>
        </w:tc>
        <w:tc>
          <w:tcPr>
            <w:tcW w:w="4110" w:type="dxa"/>
            <w:tcBorders>
              <w:tl2br w:val="nil"/>
              <w:tr2bl w:val="nil"/>
            </w:tcBorders>
            <w:vAlign w:val="center"/>
          </w:tcPr>
          <w:p>
            <w:pPr>
              <w:keepNext w:val="0"/>
              <w:keepLines w:val="0"/>
              <w:pageBreakBefore w:val="0"/>
              <w:widowControl/>
              <w:suppressLineNumbers w:val="0"/>
              <w:kinsoku/>
              <w:wordWrap/>
              <w:overflowPunct w:val="0"/>
              <w:topLinePunct w:val="0"/>
              <w:autoSpaceDE/>
              <w:autoSpaceDN/>
              <w:bidi w:val="0"/>
              <w:adjustRightInd w:val="0"/>
              <w:snapToGrid w:val="0"/>
              <w:spacing w:before="0" w:beforeAutospacing="0" w:after="0" w:afterAutospacing="0" w:line="240" w:lineRule="exact"/>
              <w:ind w:left="0" w:leftChars="0" w:right="0" w:firstLine="0" w:firstLineChars="0"/>
              <w:jc w:val="left"/>
              <w:textAlignment w:val="center"/>
              <w:rPr>
                <w:rFonts w:hint="default" w:ascii="仿宋" w:hAnsi="仿宋" w:eastAsia="仿宋" w:cs="仿宋_GB2312"/>
                <w:snapToGrid w:val="0"/>
                <w:color w:val="000000"/>
                <w:kern w:val="0"/>
                <w:sz w:val="24"/>
                <w:szCs w:val="24"/>
                <w:lang w:val="en-US" w:eastAsia="zh-CN" w:bidi="ar-SA"/>
              </w:rPr>
            </w:pPr>
            <w:r>
              <w:rPr>
                <w:rFonts w:hint="eastAsia" w:ascii="仿宋" w:hAnsi="仿宋" w:eastAsia="仿宋" w:cs="仿宋_GB2312"/>
                <w:sz w:val="24"/>
                <w:szCs w:val="24"/>
              </w:rPr>
              <w:t>水监督〔2018〕323号，第三条第（一）款</w:t>
            </w:r>
          </w:p>
        </w:tc>
      </w:tr>
    </w:tbl>
    <w:p>
      <w:pPr>
        <w:keepNext w:val="0"/>
        <w:keepLines w:val="0"/>
        <w:pageBreakBefore w:val="0"/>
        <w:widowControl/>
        <w:kinsoku/>
        <w:wordWrap/>
        <w:overflowPunct w:val="0"/>
        <w:topLinePunct w:val="0"/>
        <w:autoSpaceDE/>
        <w:autoSpaceDN/>
        <w:bidi w:val="0"/>
        <w:adjustRightInd w:val="0"/>
        <w:snapToGrid w:val="0"/>
        <w:spacing w:line="260" w:lineRule="exact"/>
        <w:ind w:left="0" w:firstLine="0" w:firstLineChars="0"/>
        <w:jc w:val="left"/>
        <w:textAlignment w:val="auto"/>
        <w:rPr>
          <w:rFonts w:hint="eastAsia" w:ascii="仿宋" w:hAnsi="仿宋" w:eastAsia="仿宋" w:cs="宋体"/>
          <w:bCs/>
          <w:kern w:val="0"/>
          <w:sz w:val="24"/>
          <w:szCs w:val="24"/>
        </w:rPr>
      </w:pPr>
    </w:p>
    <w:p>
      <w:pPr>
        <w:keepNext w:val="0"/>
        <w:keepLines w:val="0"/>
        <w:pageBreakBefore w:val="0"/>
        <w:widowControl/>
        <w:kinsoku/>
        <w:wordWrap/>
        <w:overflowPunct w:val="0"/>
        <w:topLinePunct w:val="0"/>
        <w:autoSpaceDE/>
        <w:autoSpaceDN/>
        <w:bidi w:val="0"/>
        <w:adjustRightInd w:val="0"/>
        <w:snapToGrid w:val="0"/>
        <w:spacing w:line="260" w:lineRule="exact"/>
        <w:ind w:left="0" w:firstLine="0" w:firstLineChars="0"/>
        <w:jc w:val="left"/>
        <w:textAlignment w:val="auto"/>
        <w:rPr>
          <w:rFonts w:hint="eastAsia" w:ascii="仿宋" w:hAnsi="仿宋" w:eastAsia="仿宋" w:cs="宋体"/>
          <w:bCs/>
          <w:kern w:val="0"/>
          <w:sz w:val="24"/>
          <w:szCs w:val="24"/>
        </w:rPr>
        <w:sectPr>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0" w:num="1"/>
          <w:rtlGutter w:val="0"/>
          <w:docGrid w:type="lines" w:linePitch="465" w:charSpace="0"/>
        </w:sectPr>
      </w:pPr>
    </w:p>
    <w:p>
      <w:pPr>
        <w:keepNext w:val="0"/>
        <w:keepLines w:val="0"/>
        <w:pageBreakBefore w:val="0"/>
        <w:widowControl/>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bCs/>
          <w:kern w:val="0"/>
          <w:sz w:val="24"/>
          <w:szCs w:val="24"/>
        </w:rPr>
      </w:pPr>
      <w:r>
        <w:rPr>
          <w:rFonts w:hint="eastAsia" w:ascii="仿宋" w:hAnsi="仿宋" w:eastAsia="仿宋" w:cs="宋体"/>
          <w:bCs/>
          <w:kern w:val="0"/>
          <w:sz w:val="24"/>
          <w:szCs w:val="24"/>
        </w:rPr>
        <w:t>备注：</w:t>
      </w:r>
      <w:r>
        <w:rPr>
          <w:rFonts w:ascii="仿宋" w:hAnsi="仿宋" w:eastAsia="仿宋" w:cs="宋体"/>
          <w:bCs/>
          <w:kern w:val="0"/>
          <w:sz w:val="24"/>
          <w:szCs w:val="24"/>
        </w:rPr>
        <w:t>1.</w:t>
      </w:r>
      <w:r>
        <w:rPr>
          <w:rFonts w:hint="eastAsia" w:ascii="仿宋" w:hAnsi="仿宋" w:eastAsia="仿宋" w:cs="宋体"/>
          <w:bCs/>
          <w:kern w:val="0"/>
          <w:sz w:val="24"/>
          <w:szCs w:val="24"/>
        </w:rPr>
        <w:t>法律法规、规章及技术标准代号：</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水利部令第26号：</w:t>
      </w:r>
      <w:r>
        <w:rPr>
          <w:rFonts w:hint="eastAsia" w:ascii="仿宋" w:hAnsi="仿宋" w:eastAsia="仿宋" w:cs="宋体"/>
          <w:kern w:val="0"/>
          <w:sz w:val="24"/>
          <w:szCs w:val="24"/>
        </w:rPr>
        <w:t>《水利工程建设安全生产管理规定》</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hint="eastAsia" w:ascii="仿宋" w:hAnsi="仿宋" w:eastAsia="仿宋" w:cs="宋体"/>
          <w:kern w:val="0"/>
          <w:sz w:val="24"/>
          <w:szCs w:val="24"/>
        </w:rPr>
        <w:t>水监督</w:t>
      </w:r>
      <w:r>
        <w:rPr>
          <w:rFonts w:ascii="仿宋" w:hAnsi="仿宋" w:eastAsia="仿宋" w:cs="宋体"/>
          <w:kern w:val="0"/>
          <w:sz w:val="24"/>
          <w:szCs w:val="24"/>
        </w:rPr>
        <w:t>〔2018〕323号：</w:t>
      </w:r>
      <w:r>
        <w:rPr>
          <w:rFonts w:hint="eastAsia" w:ascii="仿宋" w:hAnsi="仿宋" w:eastAsia="仿宋" w:cs="宋体"/>
          <w:kern w:val="0"/>
          <w:sz w:val="24"/>
          <w:szCs w:val="24"/>
        </w:rPr>
        <w:t>《水利部关于开展水利安全风险分级管控的指导意见》</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GB</w:t>
      </w:r>
      <w:r>
        <w:rPr>
          <w:rFonts w:hint="eastAsia" w:ascii="仿宋" w:hAnsi="仿宋" w:eastAsia="仿宋" w:cs="宋体"/>
          <w:kern w:val="0"/>
          <w:sz w:val="24"/>
          <w:szCs w:val="24"/>
        </w:rPr>
        <w:t xml:space="preserve"> </w:t>
      </w:r>
      <w:r>
        <w:rPr>
          <w:rFonts w:ascii="仿宋" w:hAnsi="仿宋" w:eastAsia="仿宋" w:cs="宋体"/>
          <w:kern w:val="0"/>
          <w:sz w:val="24"/>
          <w:szCs w:val="24"/>
        </w:rPr>
        <w:t>50194-2014:</w:t>
      </w:r>
      <w:r>
        <w:rPr>
          <w:rFonts w:hint="eastAsia" w:ascii="仿宋" w:hAnsi="仿宋" w:eastAsia="仿宋" w:cs="宋体"/>
          <w:kern w:val="0"/>
          <w:sz w:val="24"/>
          <w:szCs w:val="24"/>
        </w:rPr>
        <w:t>《建设工程施工现场供用电安全规范》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GB</w:t>
      </w:r>
      <w:r>
        <w:rPr>
          <w:rFonts w:hint="eastAsia" w:ascii="仿宋" w:hAnsi="仿宋" w:eastAsia="仿宋" w:cs="宋体"/>
          <w:kern w:val="0"/>
          <w:sz w:val="24"/>
          <w:szCs w:val="24"/>
        </w:rPr>
        <w:t xml:space="preserve"> </w:t>
      </w:r>
      <w:r>
        <w:rPr>
          <w:rFonts w:ascii="仿宋" w:hAnsi="仿宋" w:eastAsia="仿宋" w:cs="宋体"/>
          <w:kern w:val="0"/>
          <w:sz w:val="24"/>
          <w:szCs w:val="24"/>
        </w:rPr>
        <w:t>50720-2011:</w:t>
      </w:r>
      <w:r>
        <w:rPr>
          <w:rFonts w:hint="eastAsia" w:ascii="仿宋" w:hAnsi="仿宋" w:eastAsia="仿宋" w:cs="宋体"/>
          <w:kern w:val="0"/>
          <w:sz w:val="24"/>
          <w:szCs w:val="24"/>
        </w:rPr>
        <w:t>《</w:t>
      </w:r>
      <w:r>
        <w:rPr>
          <w:rFonts w:hint="eastAsia" w:ascii="仿宋" w:hAnsi="仿宋" w:eastAsia="仿宋" w:cs="宋体"/>
          <w:spacing w:val="-5"/>
          <w:kern w:val="0"/>
          <w:sz w:val="24"/>
          <w:szCs w:val="24"/>
        </w:rPr>
        <w:t>建设工程施工现场消防设施技术规范》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17-2014:</w:t>
      </w:r>
      <w:r>
        <w:rPr>
          <w:rFonts w:hint="eastAsia" w:ascii="仿宋" w:hAnsi="仿宋" w:eastAsia="仿宋" w:cs="宋体"/>
          <w:kern w:val="0"/>
          <w:sz w:val="24"/>
          <w:szCs w:val="24"/>
        </w:rPr>
        <w:t>《疏浚与吹填工程技术规范》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303-2017:</w:t>
      </w:r>
      <w:r>
        <w:rPr>
          <w:rFonts w:hint="eastAsia" w:ascii="仿宋" w:hAnsi="仿宋" w:eastAsia="仿宋" w:cs="宋体"/>
          <w:kern w:val="0"/>
          <w:sz w:val="24"/>
          <w:szCs w:val="24"/>
        </w:rPr>
        <w:t>《水利水电工程施工组织设计规范》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313-2004:</w:t>
      </w:r>
      <w:r>
        <w:rPr>
          <w:rFonts w:hint="eastAsia" w:ascii="仿宋" w:hAnsi="仿宋" w:eastAsia="仿宋" w:cs="宋体"/>
          <w:kern w:val="0"/>
          <w:sz w:val="24"/>
          <w:szCs w:val="24"/>
        </w:rPr>
        <w:t>《水利水电工程施工地质规程》</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378-2007:</w:t>
      </w:r>
      <w:r>
        <w:rPr>
          <w:rFonts w:hint="eastAsia" w:ascii="仿宋" w:hAnsi="仿宋" w:eastAsia="仿宋" w:cs="宋体"/>
          <w:kern w:val="0"/>
          <w:sz w:val="24"/>
          <w:szCs w:val="24"/>
        </w:rPr>
        <w:t>《水工建筑物地下开挖工程施工规范》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398-2007:</w:t>
      </w:r>
      <w:r>
        <w:rPr>
          <w:rFonts w:hint="eastAsia" w:ascii="仿宋" w:hAnsi="仿宋" w:eastAsia="仿宋" w:cs="宋体"/>
          <w:kern w:val="0"/>
          <w:sz w:val="24"/>
          <w:szCs w:val="24"/>
        </w:rPr>
        <w:t>《水利水电工程施工安全通用规范》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spacing w:val="-6"/>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399-2007:</w:t>
      </w:r>
      <w:r>
        <w:rPr>
          <w:rFonts w:hint="eastAsia" w:ascii="仿宋" w:hAnsi="仿宋" w:eastAsia="仿宋" w:cs="宋体"/>
          <w:spacing w:val="-6"/>
          <w:kern w:val="0"/>
          <w:sz w:val="24"/>
          <w:szCs w:val="24"/>
        </w:rPr>
        <w:t>《水利水电工程土建施工安全技术规程》</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400-2016:</w:t>
      </w:r>
      <w:r>
        <w:rPr>
          <w:rFonts w:hint="eastAsia" w:ascii="仿宋" w:hAnsi="仿宋" w:eastAsia="仿宋" w:cs="宋体"/>
          <w:kern w:val="0"/>
          <w:sz w:val="24"/>
          <w:szCs w:val="24"/>
        </w:rPr>
        <w:t>《水利水电工程机电设备安装安全技术规程》</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401-2007:</w:t>
      </w:r>
      <w:r>
        <w:rPr>
          <w:rFonts w:hint="eastAsia" w:ascii="仿宋" w:hAnsi="仿宋" w:eastAsia="仿宋" w:cs="宋体"/>
          <w:kern w:val="0"/>
          <w:sz w:val="24"/>
          <w:szCs w:val="24"/>
        </w:rPr>
        <w:t>《水利水电工程施工作业人员安全操作规程》</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642-2013:</w:t>
      </w:r>
      <w:r>
        <w:rPr>
          <w:rFonts w:hint="eastAsia" w:ascii="仿宋" w:hAnsi="仿宋" w:eastAsia="仿宋" w:cs="宋体"/>
          <w:kern w:val="0"/>
          <w:sz w:val="24"/>
          <w:szCs w:val="24"/>
        </w:rPr>
        <w:t>《水利水电地下工程施工组织设计规范》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645-2013:</w:t>
      </w:r>
      <w:r>
        <w:rPr>
          <w:rFonts w:hint="eastAsia" w:ascii="仿宋" w:hAnsi="仿宋" w:eastAsia="仿宋" w:cs="宋体"/>
          <w:kern w:val="0"/>
          <w:sz w:val="24"/>
          <w:szCs w:val="24"/>
        </w:rPr>
        <w:t>《水利水电工程围堰设计规范》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677-2014:</w:t>
      </w:r>
      <w:r>
        <w:rPr>
          <w:rFonts w:hint="eastAsia" w:ascii="仿宋" w:hAnsi="仿宋" w:eastAsia="仿宋" w:cs="宋体"/>
          <w:kern w:val="0"/>
          <w:sz w:val="24"/>
          <w:szCs w:val="24"/>
        </w:rPr>
        <w:t>《水工混凝土施工规范》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714-2015:</w:t>
      </w:r>
      <w:r>
        <w:rPr>
          <w:rFonts w:hint="eastAsia" w:ascii="仿宋" w:hAnsi="仿宋" w:eastAsia="仿宋" w:cs="宋体"/>
          <w:kern w:val="0"/>
          <w:sz w:val="24"/>
          <w:szCs w:val="24"/>
        </w:rPr>
        <w:t>《水利水电工程施工安全防护设施技术规范》</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w:t>
      </w:r>
      <w:r>
        <w:rPr>
          <w:rFonts w:hint="eastAsia" w:ascii="仿宋" w:hAnsi="仿宋" w:eastAsia="仿宋" w:cs="宋体"/>
          <w:kern w:val="0"/>
          <w:sz w:val="24"/>
          <w:szCs w:val="24"/>
        </w:rPr>
        <w:t xml:space="preserve"> </w:t>
      </w:r>
      <w:r>
        <w:rPr>
          <w:rFonts w:ascii="仿宋" w:hAnsi="仿宋" w:eastAsia="仿宋" w:cs="宋体"/>
          <w:kern w:val="0"/>
          <w:sz w:val="24"/>
          <w:szCs w:val="24"/>
        </w:rPr>
        <w:t>721-2015:</w:t>
      </w:r>
      <w:r>
        <w:rPr>
          <w:rFonts w:hint="eastAsia" w:ascii="仿宋" w:hAnsi="仿宋" w:eastAsia="仿宋" w:cs="宋体"/>
          <w:kern w:val="0"/>
          <w:sz w:val="24"/>
          <w:szCs w:val="24"/>
        </w:rPr>
        <w:t>《水利水电工程施工安全管理导则》</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ascii="仿宋" w:hAnsi="仿宋" w:eastAsia="仿宋" w:cs="宋体"/>
          <w:kern w:val="0"/>
          <w:sz w:val="24"/>
          <w:szCs w:val="24"/>
        </w:rPr>
        <w:t>SL/T</w:t>
      </w:r>
      <w:r>
        <w:rPr>
          <w:rFonts w:hint="eastAsia" w:ascii="仿宋" w:hAnsi="仿宋" w:eastAsia="仿宋" w:cs="宋体"/>
          <w:kern w:val="0"/>
          <w:sz w:val="24"/>
          <w:szCs w:val="24"/>
        </w:rPr>
        <w:t xml:space="preserve"> </w:t>
      </w:r>
      <w:r>
        <w:rPr>
          <w:rFonts w:ascii="仿宋" w:hAnsi="仿宋" w:eastAsia="仿宋" w:cs="宋体"/>
          <w:kern w:val="0"/>
          <w:sz w:val="24"/>
          <w:szCs w:val="24"/>
        </w:rPr>
        <w:t>780</w:t>
      </w:r>
      <w:r>
        <w:rPr>
          <w:rFonts w:hint="eastAsia" w:ascii="仿宋" w:hAnsi="仿宋" w:eastAsia="仿宋" w:cs="宋体"/>
          <w:kern w:val="0"/>
          <w:sz w:val="24"/>
          <w:szCs w:val="24"/>
        </w:rPr>
        <w:t>-</w:t>
      </w:r>
      <w:r>
        <w:rPr>
          <w:rFonts w:ascii="仿宋" w:hAnsi="仿宋" w:eastAsia="仿宋" w:cs="宋体"/>
          <w:kern w:val="0"/>
          <w:sz w:val="24"/>
          <w:szCs w:val="24"/>
        </w:rPr>
        <w:t>2020</w:t>
      </w:r>
      <w:r>
        <w:rPr>
          <w:rFonts w:hint="eastAsia" w:ascii="仿宋" w:hAnsi="仿宋" w:eastAsia="仿宋" w:cs="宋体"/>
          <w:kern w:val="0"/>
          <w:sz w:val="24"/>
          <w:szCs w:val="24"/>
        </w:rPr>
        <w:t>:</w:t>
      </w:r>
      <w:r>
        <w:rPr>
          <w:rFonts w:ascii="仿宋" w:hAnsi="仿宋" w:eastAsia="仿宋" w:cs="宋体"/>
          <w:kern w:val="0"/>
          <w:sz w:val="24"/>
          <w:szCs w:val="24"/>
        </w:rPr>
        <w:t>《水利水电工程金属结构制作与安装安全技术规程</w:t>
      </w:r>
      <w:r>
        <w:rPr>
          <w:rFonts w:hint="eastAsia" w:ascii="仿宋" w:hAnsi="仿宋" w:eastAsia="仿宋" w:cs="宋体"/>
          <w:kern w:val="0"/>
          <w:sz w:val="24"/>
          <w:szCs w:val="24"/>
        </w:rPr>
        <w:t>》</w:t>
      </w:r>
    </w:p>
    <w:p>
      <w:pPr>
        <w:pStyle w:val="29"/>
        <w:keepNext w:val="0"/>
        <w:keepLines w:val="0"/>
        <w:pageBreakBefore w:val="0"/>
        <w:widowControl/>
        <w:numPr>
          <w:ilvl w:val="0"/>
          <w:numId w:val="8"/>
        </w:numPr>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kern w:val="0"/>
          <w:sz w:val="24"/>
          <w:szCs w:val="24"/>
        </w:rPr>
      </w:pPr>
      <w:r>
        <w:rPr>
          <w:rFonts w:hint="eastAsia" w:ascii="仿宋" w:hAnsi="仿宋" w:eastAsia="仿宋" w:cs="宋体"/>
          <w:kern w:val="0"/>
          <w:sz w:val="24"/>
          <w:szCs w:val="24"/>
        </w:rPr>
        <w:t>JGJ 130-2011：《建筑施工扣件式钢管脚手架安全技术规范》</w:t>
      </w:r>
    </w:p>
    <w:p>
      <w:pPr>
        <w:keepNext w:val="0"/>
        <w:keepLines w:val="0"/>
        <w:pageBreakBefore w:val="0"/>
        <w:widowControl/>
        <w:kinsoku/>
        <w:wordWrap/>
        <w:overflowPunct w:val="0"/>
        <w:topLinePunct w:val="0"/>
        <w:autoSpaceDE/>
        <w:autoSpaceDN/>
        <w:bidi w:val="0"/>
        <w:adjustRightInd w:val="0"/>
        <w:snapToGrid w:val="0"/>
        <w:spacing w:line="260" w:lineRule="exact"/>
        <w:ind w:left="0" w:firstLine="0" w:firstLineChars="0"/>
        <w:jc w:val="left"/>
        <w:textAlignment w:val="auto"/>
        <w:rPr>
          <w:rFonts w:ascii="仿宋" w:hAnsi="仿宋" w:eastAsia="仿宋" w:cs="宋体"/>
          <w:bCs/>
          <w:kern w:val="0"/>
          <w:sz w:val="24"/>
          <w:szCs w:val="24"/>
        </w:rPr>
        <w:sectPr>
          <w:type w:val="continuous"/>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425" w:num="1"/>
          <w:rtlGutter w:val="0"/>
          <w:docGrid w:type="lines" w:linePitch="465" w:charSpace="0"/>
        </w:sectPr>
      </w:pPr>
      <w:r>
        <w:rPr>
          <w:rFonts w:ascii="仿宋" w:hAnsi="仿宋" w:eastAsia="仿宋" w:cs="宋体"/>
          <w:bCs/>
          <w:kern w:val="0"/>
          <w:sz w:val="24"/>
          <w:szCs w:val="24"/>
        </w:rPr>
        <w:t>2.判定依据中加</w:t>
      </w:r>
      <w:r>
        <w:rPr>
          <w:rFonts w:hint="eastAsia" w:ascii="仿宋" w:hAnsi="仿宋" w:eastAsia="仿宋" w:cs="宋体"/>
          <w:bCs/>
          <w:kern w:val="0"/>
          <w:sz w:val="24"/>
          <w:szCs w:val="24"/>
        </w:rPr>
        <w:t>粗的条款为强制性条文。</w:t>
      </w:r>
    </w:p>
    <w:p>
      <w:pPr>
        <w:pStyle w:val="5"/>
        <w:bidi w:val="0"/>
        <w:ind w:left="0" w:leftChars="0" w:firstLine="0" w:firstLineChars="0"/>
      </w:pPr>
      <w:r>
        <w:rPr>
          <w:rFonts w:hint="eastAsia"/>
        </w:rPr>
        <w:t>附表2</w:t>
      </w:r>
    </w:p>
    <w:p>
      <w:pPr>
        <w:pStyle w:val="7"/>
        <w:bidi w:val="0"/>
        <w:rPr>
          <w:rFonts w:hint="eastAsia"/>
          <w:lang w:val="en-US" w:eastAsia="zh-CN"/>
        </w:rPr>
      </w:pPr>
      <w:r>
        <w:rPr>
          <w:rFonts w:hint="eastAsia"/>
          <w:lang w:val="en-US" w:eastAsia="zh-CN"/>
        </w:rPr>
        <w:t>水利工程运行管理生产安全重大事故隐患判定清单（指南）</w:t>
      </w:r>
    </w:p>
    <w:tbl>
      <w:tblPr>
        <w:tblStyle w:val="20"/>
        <w:tblW w:w="14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200"/>
        <w:gridCol w:w="1185"/>
        <w:gridCol w:w="6075"/>
        <w:gridCol w:w="1550"/>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序号</w:t>
            </w:r>
          </w:p>
        </w:tc>
        <w:tc>
          <w:tcPr>
            <w:tcW w:w="1200" w:type="dxa"/>
            <w:tcBorders>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管理对象</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隐患编号</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隐患内容</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易引发</w:t>
            </w:r>
          </w:p>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事故类型</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eastAsia" w:ascii="黑体" w:hAnsi="黑体" w:eastAsia="黑体" w:cs="黑体"/>
                <w:sz w:val="24"/>
                <w:szCs w:val="24"/>
              </w:rPr>
            </w:pPr>
            <w:r>
              <w:rPr>
                <w:rFonts w:hint="eastAsia" w:ascii="黑体" w:hAnsi="黑体" w:eastAsia="黑体" w:cs="黑体"/>
                <w:sz w:val="24"/>
                <w:szCs w:val="24"/>
              </w:rPr>
              <w:t>判定依据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tcBorders>
              <w:right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w:t>
            </w:r>
          </w:p>
        </w:tc>
        <w:tc>
          <w:tcPr>
            <w:tcW w:w="120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水利工程通用</w:t>
            </w:r>
          </w:p>
        </w:tc>
        <w:tc>
          <w:tcPr>
            <w:tcW w:w="1185" w:type="dxa"/>
            <w:tcBorders>
              <w:left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SY-T001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有泄洪要求的闸门未设置备用电源或不能正常启闭，或泄、放水建筑物堵塞，无法正常泄洪</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pStyle w:val="29"/>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41-2018，第9.2.2条；</w:t>
            </w:r>
          </w:p>
          <w:p>
            <w:pPr>
              <w:pStyle w:val="29"/>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sz w:val="24"/>
                <w:szCs w:val="24"/>
              </w:rPr>
            </w:pPr>
            <w:r>
              <w:rPr>
                <w:rFonts w:hint="eastAsia" w:ascii="仿宋" w:hAnsi="仿宋" w:eastAsia="仿宋" w:cs="仿宋_GB2312"/>
                <w:sz w:val="24"/>
                <w:szCs w:val="24"/>
              </w:rPr>
              <w:t>SL 75-2014，第4.12条；</w:t>
            </w:r>
          </w:p>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258-2017，第9.8.4条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tcBorders>
              <w:right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2</w:t>
            </w:r>
          </w:p>
        </w:tc>
        <w:tc>
          <w:tcPr>
            <w:tcW w:w="120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tcBorders>
              <w:left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SY-T002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有防洪要求的工程未按照设计和规范设置监测、观测设施或监测、观测设施严重缺失；未按规范开展监测观测</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75-2014，第3.2.2条；</w:t>
            </w:r>
          </w:p>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274-2001，第10.0.3条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bookmarkStart w:id="0" w:name="_Hlk70275089"/>
            <w:r>
              <w:rPr>
                <w:rFonts w:hint="eastAsia" w:ascii="仿宋" w:hAnsi="仿宋" w:eastAsia="仿宋" w:cs="仿宋_GB2312"/>
                <w:sz w:val="24"/>
                <w:szCs w:val="24"/>
              </w:rPr>
              <w:t>3</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水库大坝工程</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SY-K001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大坝安全鉴定为三类坝，未采取有效措施管控</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垮坝、坍塌、淹溺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bookmarkStart w:id="1" w:name="_Hlk70276020"/>
            <w:r>
              <w:rPr>
                <w:rFonts w:hint="eastAsia" w:ascii="仿宋" w:hAnsi="仿宋" w:eastAsia="仿宋" w:cs="仿宋_GB2312"/>
                <w:sz w:val="24"/>
                <w:szCs w:val="24"/>
              </w:rPr>
              <w:t>《大坝安全管理条例》第十六条；</w:t>
            </w:r>
          </w:p>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水建管〔2008〕214号</w:t>
            </w:r>
            <w:bookmarkEnd w:id="1"/>
            <w:r>
              <w:rPr>
                <w:rFonts w:hint="eastAsia" w:ascii="仿宋" w:hAnsi="仿宋" w:eastAsia="仿宋" w:cs="仿宋_GB2312"/>
                <w:sz w:val="24"/>
                <w:szCs w:val="24"/>
              </w:rPr>
              <w:t>，第十六条；</w:t>
            </w:r>
          </w:p>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258-2017，第12.0.4条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4</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SY-K002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Style w:val="22"/>
                <w:rFonts w:hint="eastAsia" w:ascii="仿宋" w:hAnsi="仿宋" w:eastAsia="仿宋" w:cs="仿宋_GB2312"/>
                <w:i w:val="0"/>
                <w:sz w:val="24"/>
                <w:szCs w:val="24"/>
                <w:shd w:val="clear" w:color="auto" w:fill="FFFFFF"/>
              </w:rPr>
              <w:t>大坝防渗和反滤排水设施不完善，或存在严重缺陷；大坝渗流压力与渗流量变化异常，或坝基扬压力高于设计值，且运行中已出现流土、</w:t>
            </w:r>
            <w:r>
              <w:rPr>
                <w:rFonts w:hint="eastAsia" w:ascii="仿宋" w:hAnsi="仿宋" w:eastAsia="仿宋" w:cs="仿宋_GB2312"/>
                <w:sz w:val="24"/>
                <w:szCs w:val="24"/>
                <w:shd w:val="clear" w:color="auto" w:fill="FFFFFF"/>
              </w:rPr>
              <w:t>漏洞或管涌等</w:t>
            </w:r>
            <w:r>
              <w:rPr>
                <w:rStyle w:val="22"/>
                <w:rFonts w:hint="eastAsia" w:ascii="仿宋" w:hAnsi="仿宋" w:eastAsia="仿宋" w:cs="仿宋_GB2312"/>
                <w:i w:val="0"/>
                <w:sz w:val="24"/>
                <w:szCs w:val="24"/>
                <w:shd w:val="clear" w:color="auto" w:fill="FFFFFF"/>
              </w:rPr>
              <w:t>严重渗流异常现象</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垮坝、坍塌、淹溺</w:t>
            </w:r>
          </w:p>
        </w:tc>
        <w:tc>
          <w:tcPr>
            <w:tcW w:w="3686" w:type="dxa"/>
            <w:vAlign w:val="center"/>
          </w:tcPr>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bookmarkStart w:id="2" w:name="_Hlk70276348"/>
            <w:r>
              <w:rPr>
                <w:rFonts w:hint="eastAsia" w:ascii="仿宋" w:hAnsi="仿宋" w:eastAsia="仿宋" w:cs="仿宋_GB2312"/>
                <w:sz w:val="24"/>
                <w:szCs w:val="24"/>
              </w:rPr>
              <w:t>SL 210-2015，第5.5条、第5.6条、第5.7条；</w:t>
            </w:r>
          </w:p>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SL 258-2017，第8.6.4条；</w:t>
            </w:r>
          </w:p>
          <w:bookmarkEnd w:id="2"/>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SL 551-2012，第1.0.10条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5</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SY-K003</w:t>
            </w:r>
          </w:p>
        </w:tc>
        <w:tc>
          <w:tcPr>
            <w:tcW w:w="6075" w:type="dxa"/>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大坝及泄水、输水等建筑物的强度、稳定、泄流安全不满足规范要求，存在危及工程安全的异常变形或近坝岸坡不稳定</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垮坝、坍塌、淹溺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258-2017，第9.8.4条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6</w:t>
            </w:r>
          </w:p>
        </w:tc>
        <w:tc>
          <w:tcPr>
            <w:tcW w:w="1200" w:type="dxa"/>
            <w:vMerge w:val="continue"/>
            <w:tcBorders>
              <w:top w:val="single" w:color="auto" w:sz="4" w:space="0"/>
              <w:bottom w:val="single" w:color="auto" w:sz="4" w:space="0"/>
            </w:tcBorders>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SY-K004</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闸门、启闭机等金属结构安全监测结果为“不安全”，强度、刚度及稳定性不满足规范要求；维护不善，变形、锈蚀、磨损严重，不能正常运行</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258-2017，第11.1.2条、第11.6.4条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7</w:t>
            </w:r>
          </w:p>
        </w:tc>
        <w:tc>
          <w:tcPr>
            <w:tcW w:w="1200" w:type="dxa"/>
            <w:vMerge w:val="continue"/>
            <w:tcBorders>
              <w:top w:val="single" w:color="auto" w:sz="4" w:space="0"/>
              <w:bottom w:val="single" w:color="auto" w:sz="4" w:space="0"/>
            </w:tcBorders>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SY-K005</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未经批准擅自调高水库汛限水位或正常蓄水位；水库未经蓄水验收即投入使用</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垮坝、坍塌、淹溺</w:t>
            </w:r>
          </w:p>
        </w:tc>
        <w:tc>
          <w:tcPr>
            <w:tcW w:w="3686" w:type="dxa"/>
            <w:vAlign w:val="center"/>
          </w:tcPr>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水防〔2019〕152号，第十六条；</w:t>
            </w:r>
          </w:p>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SL 223-2007，第6.3.1条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8</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水电站工程</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SY-D001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小型水电站安全评价为C类，未采取有效措施管控</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机械伤害、触电、火灾</w:t>
            </w:r>
          </w:p>
        </w:tc>
        <w:tc>
          <w:tcPr>
            <w:tcW w:w="3686" w:type="dxa"/>
            <w:vAlign w:val="center"/>
          </w:tcPr>
          <w:p>
            <w:pPr>
              <w:pStyle w:val="29"/>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GB/T 50876-2013，第8.0.4条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9</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SY-D002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主要发供电设备异常运行已达到规程标准的紧急停运条件而未停止运行</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机械伤害、触电、火灾</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GB 50964-2014，第5.2.7条、第5.3.3条、第5.4.2条</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10</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SY-D003</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可能出现六氟化硫泄漏、聚集的场所，未设置监测报警及通风装置</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中毒和窒息</w:t>
            </w:r>
          </w:p>
        </w:tc>
        <w:tc>
          <w:tcPr>
            <w:tcW w:w="3686" w:type="dxa"/>
            <w:vAlign w:val="center"/>
          </w:tcPr>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GB 50706-2011，第5.6.1条；</w:t>
            </w:r>
          </w:p>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DL/T 595-2016，第5.2.2条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11</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泵站</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SY-B001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泵站综合评定为三类，未采取有效措施管控</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机械伤害、触电、淹溺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316-2015，第6.0.5条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12</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SY-B002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泵站进水前池水位低于设计最低运行水位运行</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机械伤害、火灾</w:t>
            </w:r>
          </w:p>
        </w:tc>
        <w:tc>
          <w:tcPr>
            <w:tcW w:w="3686" w:type="dxa"/>
            <w:vAlign w:val="center"/>
          </w:tcPr>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GB/T 30948-2014，第7.3.5条；</w:t>
            </w:r>
          </w:p>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GB 50265-2010，第3.2.1条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13</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水闸工程</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SY-Z001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水闸进行安全评价为三类、四类闸，未采取有效措施管控</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214-2015，第5.0.2条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14</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SY-Z002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水闸的主体结构不均匀沉降、垂直位移、水平位移超出允许值，可能导致整体失稳；止水系统破坏</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w:t>
            </w:r>
          </w:p>
        </w:tc>
        <w:tc>
          <w:tcPr>
            <w:tcW w:w="3686" w:type="dxa"/>
            <w:vAlign w:val="center"/>
          </w:tcPr>
          <w:p>
            <w:pPr>
              <w:pStyle w:val="29"/>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SL 214-2015,第4.4.12条</w:t>
            </w:r>
          </w:p>
          <w:p>
            <w:pPr>
              <w:keepNext w:val="0"/>
              <w:keepLines w:val="0"/>
              <w:pageBreakBefore w:val="0"/>
              <w:widowControl w:val="0"/>
              <w:numPr>
                <w:ilvl w:val="0"/>
                <w:numId w:val="0"/>
              </w:numPr>
              <w:suppressLineNumbers w:val="0"/>
              <w:kinsoku/>
              <w:wordWrap/>
              <w:topLinePunct w:val="0"/>
              <w:autoSpaceDE/>
              <w:autoSpaceDN/>
              <w:bidi w:val="0"/>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SL 75-2014，第4.6.4条、第4.12.2条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15</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SY-Z003</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水闸监测发现铺盖、底板、上下游连接段底部淘空存在失稳的可能</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75-2014，第4.12.2条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16</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堤防工程</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SY-F001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堤防安全综合评价为三类，未采取有效措施管控</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pStyle w:val="29"/>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SL/Z 679-2015，第8.2.2条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17</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SY-F002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堤防渗流坡降和覆盖层盖重不满足标准的要求，且工程已出现严重渗流异常现象的</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SL/Z 679-2015，第6.3.2.3条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18</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SY-F003</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堤防及防护结构稳定性不满足规范要求，</w:t>
            </w:r>
            <w:bookmarkStart w:id="3" w:name="_Hlk69914377"/>
            <w:r>
              <w:rPr>
                <w:rFonts w:hint="eastAsia" w:ascii="仿宋" w:hAnsi="仿宋" w:eastAsia="仿宋" w:cs="仿宋_GB2312"/>
                <w:sz w:val="24"/>
                <w:szCs w:val="24"/>
              </w:rPr>
              <w:t>且</w:t>
            </w:r>
            <w:bookmarkEnd w:id="3"/>
            <w:r>
              <w:rPr>
                <w:rFonts w:hint="eastAsia" w:ascii="仿宋" w:hAnsi="仿宋" w:eastAsia="仿宋" w:cs="仿宋_GB2312"/>
                <w:sz w:val="24"/>
                <w:szCs w:val="24"/>
              </w:rPr>
              <w:t>已发现危及堤防稳定的现象</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SL/Z 679-2015，第7.3.1.3条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19</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引调水及灌区工程</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SY-YG001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渡槽及跨渠建筑物地基沉降量较大，超过设计要求；渡槽结构主体裂缝多，碳化破损严重，止水失效，漏水严重</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物体打击、坍塌、淹溺</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T/CHES 22-2018，第7.2条第c款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20</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SY-YG002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隧洞洞脸边坡不稳定；隧洞围岩或支护结构严重变形</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坍塌、冒顶片帮</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 279-2002，第10.0.2条、第10.0.3条、第11.0.1条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21</w:t>
            </w:r>
          </w:p>
        </w:tc>
        <w:tc>
          <w:tcPr>
            <w:tcW w:w="1200" w:type="dxa"/>
            <w:vMerge w:val="continue"/>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SY-YG003</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高填方或傍山渠坡出现管涌等渗透破坏现象或塌陷、边坡失稳等现象</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坍塌、淹溺</w:t>
            </w:r>
          </w:p>
        </w:tc>
        <w:tc>
          <w:tcPr>
            <w:tcW w:w="3686" w:type="dxa"/>
            <w:vAlign w:val="center"/>
          </w:tcPr>
          <w:p>
            <w:pPr>
              <w:pStyle w:val="2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SL 482-2011，第4.2.3条、第4.4.1条；</w:t>
            </w:r>
          </w:p>
          <w:p>
            <w:pPr>
              <w:pStyle w:val="2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textAlignment w:val="auto"/>
              <w:rPr>
                <w:rFonts w:hint="default" w:ascii="仿宋" w:hAnsi="仿宋" w:eastAsia="仿宋" w:cs="仿宋_GB2312"/>
                <w:sz w:val="24"/>
                <w:szCs w:val="24"/>
              </w:rPr>
            </w:pPr>
            <w:r>
              <w:rPr>
                <w:rFonts w:hint="eastAsia" w:ascii="仿宋" w:hAnsi="仿宋" w:eastAsia="仿宋" w:cs="仿宋_GB2312"/>
                <w:sz w:val="24"/>
                <w:szCs w:val="24"/>
              </w:rPr>
              <w:t>GB/T 50600-2010，第10.0.3条、第10.0.9条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22</w:t>
            </w:r>
          </w:p>
        </w:tc>
        <w:tc>
          <w:tcPr>
            <w:tcW w:w="1200" w:type="dxa"/>
            <w:vMerge w:val="restart"/>
            <w:tcBorders>
              <w:top w:val="single" w:color="auto" w:sz="4" w:space="0"/>
              <w:bottom w:val="single" w:color="auto" w:sz="4" w:space="0"/>
            </w:tcBorders>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淤地坝工程</w:t>
            </w: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SY-NK001</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大中型淤地坝无溢洪道或无放水设施</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坍塌</w:t>
            </w:r>
          </w:p>
        </w:tc>
        <w:tc>
          <w:tcPr>
            <w:tcW w:w="3686" w:type="dxa"/>
            <w:vAlign w:val="center"/>
          </w:tcPr>
          <w:p>
            <w:pPr>
              <w:pStyle w:val="29"/>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SL/T 804-2020，第7.1.1条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23</w:t>
            </w:r>
          </w:p>
        </w:tc>
        <w:tc>
          <w:tcPr>
            <w:tcW w:w="1200" w:type="dxa"/>
            <w:vMerge w:val="continue"/>
            <w:tcBorders>
              <w:top w:val="single" w:color="auto" w:sz="4" w:space="0"/>
              <w:bottom w:val="single" w:color="auto" w:sz="4" w:space="0"/>
            </w:tcBorders>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SY-NK002</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坝体坝肩出现贯通性横向裂缝或纵向滑动性裂缝，坝坡出现破坏性滑坡、塌陷、冲沟，坝体出现冲缺、管涌、流土</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淹溺、坍塌</w:t>
            </w:r>
          </w:p>
        </w:tc>
        <w:tc>
          <w:tcPr>
            <w:tcW w:w="3686"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SL/T 804-2020，第7.1.1条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2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24</w:t>
            </w:r>
          </w:p>
        </w:tc>
        <w:tc>
          <w:tcPr>
            <w:tcW w:w="1200" w:type="dxa"/>
            <w:vMerge w:val="continue"/>
            <w:tcBorders>
              <w:top w:val="single" w:color="auto" w:sz="4" w:space="0"/>
              <w:bottom w:val="single" w:color="auto" w:sz="4" w:space="0"/>
            </w:tcBorders>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p>
        </w:tc>
        <w:tc>
          <w:tcPr>
            <w:tcW w:w="118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SY-NK003</w:t>
            </w:r>
          </w:p>
        </w:tc>
        <w:tc>
          <w:tcPr>
            <w:tcW w:w="6075"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放水建筑物（溢洪道、卧管、竖井、涵洞、涵管等）或溢洪道出现损毁、断裂、坍塌、基部套刷、悬空</w:t>
            </w:r>
          </w:p>
        </w:tc>
        <w:tc>
          <w:tcPr>
            <w:tcW w:w="1550" w:type="dxa"/>
            <w:vAlign w:val="center"/>
          </w:tcPr>
          <w:p>
            <w:pPr>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leftChars="0" w:right="0" w:rightChars="0" w:firstLine="0" w:firstLineChars="0"/>
              <w:jc w:val="center"/>
              <w:textAlignment w:val="auto"/>
              <w:rPr>
                <w:rFonts w:hint="default" w:ascii="仿宋" w:hAnsi="仿宋" w:eastAsia="仿宋" w:cs="仿宋_GB2312"/>
                <w:sz w:val="24"/>
                <w:szCs w:val="24"/>
              </w:rPr>
            </w:pPr>
            <w:r>
              <w:rPr>
                <w:rFonts w:hint="eastAsia" w:ascii="仿宋" w:hAnsi="仿宋" w:eastAsia="仿宋" w:cs="仿宋_GB2312"/>
                <w:sz w:val="24"/>
                <w:szCs w:val="24"/>
              </w:rPr>
              <w:t>淹溺、坍塌</w:t>
            </w:r>
          </w:p>
        </w:tc>
        <w:tc>
          <w:tcPr>
            <w:tcW w:w="3686" w:type="dxa"/>
            <w:vAlign w:val="center"/>
          </w:tcPr>
          <w:p>
            <w:pPr>
              <w:pStyle w:val="29"/>
              <w:keepNext w:val="0"/>
              <w:keepLines w:val="0"/>
              <w:pageBreakBefore w:val="0"/>
              <w:widowControl w:val="0"/>
              <w:suppressLineNumbers w:val="0"/>
              <w:kinsoku/>
              <w:wordWrap/>
              <w:topLinePunct w:val="0"/>
              <w:autoSpaceDE/>
              <w:autoSpaceDN/>
              <w:bidi w:val="0"/>
              <w:spacing w:before="0" w:beforeAutospacing="0" w:after="0" w:afterAutospacing="0" w:line="260" w:lineRule="exact"/>
              <w:ind w:left="0" w:right="0" w:firstLine="0" w:firstLineChars="0"/>
              <w:textAlignment w:val="auto"/>
              <w:rPr>
                <w:rFonts w:hint="default" w:ascii="仿宋" w:hAnsi="仿宋" w:eastAsia="仿宋" w:cs="仿宋_GB2312"/>
                <w:sz w:val="24"/>
                <w:szCs w:val="24"/>
              </w:rPr>
            </w:pPr>
            <w:r>
              <w:rPr>
                <w:rFonts w:hint="eastAsia" w:ascii="仿宋" w:hAnsi="仿宋" w:eastAsia="仿宋" w:cs="仿宋_GB2312"/>
                <w:sz w:val="24"/>
                <w:szCs w:val="24"/>
              </w:rPr>
              <w:t>SL/T 804-2020，第7.1.1条</w:t>
            </w:r>
          </w:p>
        </w:tc>
      </w:tr>
    </w:tbl>
    <w:p>
      <w:pPr>
        <w:keepNext w:val="0"/>
        <w:keepLines w:val="0"/>
        <w:pageBreakBefore w:val="0"/>
        <w:widowControl w:val="0"/>
        <w:kinsoku/>
        <w:wordWrap/>
        <w:overflowPunct w:val="0"/>
        <w:topLinePunct w:val="0"/>
        <w:autoSpaceDE/>
        <w:autoSpaceDN/>
        <w:bidi w:val="0"/>
        <w:adjustRightInd w:val="0"/>
        <w:snapToGrid w:val="0"/>
        <w:spacing w:line="20" w:lineRule="exact"/>
        <w:ind w:left="0" w:leftChars="0"/>
        <w:textAlignment w:val="auto"/>
        <w:rPr>
          <w:rFonts w:hint="eastAsia" w:ascii="仿宋" w:hAnsi="仿宋" w:eastAsia="仿宋"/>
          <w:sz w:val="24"/>
          <w:szCs w:val="24"/>
        </w:rPr>
      </w:pPr>
    </w:p>
    <w:p>
      <w:pPr>
        <w:keepNext w:val="0"/>
        <w:keepLines w:val="0"/>
        <w:pageBreakBefore w:val="0"/>
        <w:widowControl w:val="0"/>
        <w:kinsoku/>
        <w:wordWrap/>
        <w:overflowPunct w:val="0"/>
        <w:topLinePunct w:val="0"/>
        <w:autoSpaceDE/>
        <w:autoSpaceDN/>
        <w:bidi w:val="0"/>
        <w:adjustRightInd w:val="0"/>
        <w:snapToGrid w:val="0"/>
        <w:spacing w:line="260" w:lineRule="exact"/>
        <w:ind w:left="0" w:leftChars="0"/>
        <w:textAlignment w:val="auto"/>
        <w:rPr>
          <w:rFonts w:hint="eastAsia" w:ascii="仿宋" w:hAnsi="仿宋" w:eastAsia="仿宋"/>
          <w:sz w:val="24"/>
          <w:szCs w:val="24"/>
        </w:rPr>
        <w:sectPr>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0" w:num="1"/>
          <w:rtlGutter w:val="0"/>
          <w:docGrid w:type="lines" w:linePitch="465" w:charSpace="0"/>
        </w:sectPr>
      </w:pPr>
    </w:p>
    <w:p>
      <w:pPr>
        <w:keepNext w:val="0"/>
        <w:keepLines w:val="0"/>
        <w:pageBreakBefore w:val="0"/>
        <w:widowControl w:val="0"/>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hint="eastAsia" w:ascii="仿宋" w:hAnsi="仿宋" w:eastAsia="仿宋"/>
          <w:spacing w:val="0"/>
          <w:position w:val="0"/>
          <w:sz w:val="24"/>
          <w:szCs w:val="24"/>
        </w:rPr>
        <w:t>备注：</w:t>
      </w:r>
      <w:r>
        <w:rPr>
          <w:rFonts w:ascii="仿宋" w:hAnsi="仿宋" w:eastAsia="仿宋"/>
          <w:spacing w:val="0"/>
          <w:position w:val="0"/>
          <w:sz w:val="24"/>
          <w:szCs w:val="24"/>
        </w:rPr>
        <w:t>法规、规章及技术标准代号：</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hint="eastAsia" w:ascii="仿宋" w:hAnsi="仿宋" w:eastAsia="仿宋"/>
          <w:spacing w:val="0"/>
          <w:position w:val="0"/>
          <w:sz w:val="24"/>
          <w:szCs w:val="24"/>
        </w:rPr>
        <w:t>水建管</w:t>
      </w:r>
      <w:r>
        <w:rPr>
          <w:rFonts w:ascii="仿宋" w:hAnsi="仿宋" w:eastAsia="仿宋"/>
          <w:spacing w:val="0"/>
          <w:position w:val="0"/>
          <w:sz w:val="24"/>
          <w:szCs w:val="24"/>
        </w:rPr>
        <w:t>〔2008〕214号</w:t>
      </w:r>
      <w:r>
        <w:rPr>
          <w:rFonts w:hint="eastAsia" w:ascii="仿宋" w:hAnsi="仿宋" w:eastAsia="仿宋"/>
          <w:spacing w:val="0"/>
          <w:position w:val="0"/>
          <w:sz w:val="24"/>
          <w:szCs w:val="24"/>
        </w:rPr>
        <w:t>：《水库大坝安全鉴定办法》</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bookmarkStart w:id="4" w:name="_Hlk70275958"/>
      <w:r>
        <w:rPr>
          <w:rFonts w:hint="eastAsia" w:ascii="仿宋" w:hAnsi="仿宋" w:eastAsia="仿宋"/>
          <w:spacing w:val="0"/>
          <w:position w:val="0"/>
          <w:sz w:val="24"/>
          <w:szCs w:val="24"/>
        </w:rPr>
        <w:t>水建管</w:t>
      </w:r>
      <w:r>
        <w:rPr>
          <w:rFonts w:ascii="仿宋" w:hAnsi="仿宋" w:eastAsia="仿宋"/>
          <w:spacing w:val="0"/>
          <w:position w:val="0"/>
          <w:sz w:val="24"/>
          <w:szCs w:val="24"/>
        </w:rPr>
        <w:t>〔2014〕155号</w:t>
      </w:r>
      <w:r>
        <w:rPr>
          <w:rFonts w:hint="eastAsia" w:ascii="仿宋" w:hAnsi="仿宋" w:eastAsia="仿宋"/>
          <w:spacing w:val="0"/>
          <w:position w:val="0"/>
          <w:sz w:val="24"/>
          <w:szCs w:val="24"/>
        </w:rPr>
        <w:t>：《小型水库土石坝主要安全隐患处置技术导则》</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hint="eastAsia" w:ascii="仿宋" w:hAnsi="仿宋" w:eastAsia="仿宋"/>
          <w:spacing w:val="0"/>
          <w:position w:val="0"/>
          <w:sz w:val="24"/>
          <w:szCs w:val="24"/>
        </w:rPr>
        <w:t>水防</w:t>
      </w:r>
      <w:r>
        <w:rPr>
          <w:rFonts w:ascii="仿宋" w:hAnsi="仿宋" w:eastAsia="仿宋"/>
          <w:spacing w:val="0"/>
          <w:position w:val="0"/>
          <w:sz w:val="24"/>
          <w:szCs w:val="24"/>
        </w:rPr>
        <w:t>〔2019〕152号</w:t>
      </w:r>
      <w:r>
        <w:rPr>
          <w:rFonts w:hint="eastAsia" w:ascii="仿宋" w:hAnsi="仿宋" w:eastAsia="仿宋"/>
          <w:spacing w:val="0"/>
          <w:position w:val="0"/>
          <w:sz w:val="24"/>
          <w:szCs w:val="24"/>
        </w:rPr>
        <w:t>：《水利部印发汛限水位监督管理规定（试行）》</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GB/T</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30948-2014</w:t>
      </w:r>
      <w:r>
        <w:rPr>
          <w:rFonts w:hint="eastAsia" w:ascii="仿宋" w:hAnsi="仿宋" w:eastAsia="仿宋"/>
          <w:spacing w:val="0"/>
          <w:position w:val="0"/>
          <w:sz w:val="24"/>
          <w:szCs w:val="24"/>
        </w:rPr>
        <w:t>：《泵站技术管理规程》</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GB</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50265-2010</w:t>
      </w:r>
      <w:r>
        <w:rPr>
          <w:rFonts w:hint="eastAsia" w:ascii="仿宋" w:hAnsi="仿宋" w:eastAsia="仿宋"/>
          <w:spacing w:val="0"/>
          <w:position w:val="0"/>
          <w:sz w:val="24"/>
          <w:szCs w:val="24"/>
        </w:rPr>
        <w:t>：《泵站设计规范》</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GB</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50268-2008:</w:t>
      </w:r>
      <w:r>
        <w:rPr>
          <w:rFonts w:hint="eastAsia" w:ascii="仿宋" w:hAnsi="仿宋" w:eastAsia="仿宋"/>
          <w:spacing w:val="0"/>
          <w:position w:val="0"/>
          <w:sz w:val="24"/>
          <w:szCs w:val="24"/>
        </w:rPr>
        <w:t>《给排水管道验收规范》</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GB/T</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50600-2010:</w:t>
      </w:r>
      <w:r>
        <w:rPr>
          <w:rFonts w:hint="eastAsia" w:ascii="仿宋" w:hAnsi="仿宋" w:eastAsia="仿宋"/>
          <w:spacing w:val="0"/>
          <w:position w:val="0"/>
          <w:sz w:val="24"/>
          <w:szCs w:val="24"/>
        </w:rPr>
        <w:t>《渠道防渗工程技术规范》</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GB/T 50876-2013</w:t>
      </w:r>
      <w:r>
        <w:rPr>
          <w:rFonts w:hint="eastAsia" w:ascii="仿宋" w:hAnsi="仿宋" w:eastAsia="仿宋"/>
          <w:spacing w:val="0"/>
          <w:position w:val="0"/>
          <w:sz w:val="24"/>
          <w:szCs w:val="24"/>
        </w:rPr>
        <w:t>：《</w:t>
      </w:r>
      <w:r>
        <w:rPr>
          <w:rFonts w:ascii="仿宋" w:hAnsi="仿宋" w:eastAsia="仿宋"/>
          <w:spacing w:val="0"/>
          <w:position w:val="0"/>
          <w:sz w:val="24"/>
          <w:szCs w:val="24"/>
        </w:rPr>
        <w:t>小型水电站安全检测与评价规范</w:t>
      </w:r>
      <w:r>
        <w:rPr>
          <w:rFonts w:hint="eastAsia" w:ascii="仿宋" w:hAnsi="仿宋" w:eastAsia="仿宋"/>
          <w:spacing w:val="0"/>
          <w:position w:val="0"/>
          <w:sz w:val="24"/>
          <w:szCs w:val="24"/>
        </w:rPr>
        <w:t>》</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GB</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 xml:space="preserve">50964-2014 </w:t>
      </w:r>
      <w:r>
        <w:rPr>
          <w:rFonts w:hint="eastAsia" w:ascii="仿宋" w:hAnsi="仿宋" w:eastAsia="仿宋"/>
          <w:spacing w:val="0"/>
          <w:position w:val="0"/>
          <w:sz w:val="24"/>
          <w:szCs w:val="24"/>
        </w:rPr>
        <w:t>：《</w:t>
      </w:r>
      <w:r>
        <w:rPr>
          <w:rFonts w:ascii="仿宋" w:hAnsi="仿宋" w:eastAsia="仿宋"/>
          <w:spacing w:val="0"/>
          <w:position w:val="0"/>
          <w:sz w:val="24"/>
          <w:szCs w:val="24"/>
        </w:rPr>
        <w:t>小型水电站运行维护技术规范</w:t>
      </w:r>
      <w:r>
        <w:rPr>
          <w:rFonts w:hint="eastAsia" w:ascii="仿宋" w:hAnsi="仿宋" w:eastAsia="仿宋"/>
          <w:spacing w:val="0"/>
          <w:position w:val="0"/>
          <w:sz w:val="24"/>
          <w:szCs w:val="24"/>
        </w:rPr>
        <w:t>》</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75-2014</w:t>
      </w:r>
      <w:r>
        <w:rPr>
          <w:rFonts w:hint="eastAsia" w:ascii="仿宋" w:hAnsi="仿宋" w:eastAsia="仿宋"/>
          <w:spacing w:val="0"/>
          <w:position w:val="0"/>
          <w:sz w:val="24"/>
          <w:szCs w:val="24"/>
        </w:rPr>
        <w:t>：《水闸技术管理规程》</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 xml:space="preserve">210-2015 </w:t>
      </w:r>
      <w:r>
        <w:rPr>
          <w:rFonts w:hint="eastAsia" w:ascii="仿宋" w:hAnsi="仿宋" w:eastAsia="仿宋"/>
          <w:spacing w:val="0"/>
          <w:position w:val="0"/>
          <w:sz w:val="24"/>
          <w:szCs w:val="24"/>
        </w:rPr>
        <w:t>：《</w:t>
      </w:r>
      <w:r>
        <w:rPr>
          <w:rFonts w:ascii="仿宋" w:hAnsi="仿宋" w:eastAsia="仿宋"/>
          <w:spacing w:val="0"/>
          <w:position w:val="0"/>
          <w:sz w:val="24"/>
          <w:szCs w:val="24"/>
        </w:rPr>
        <w:t>土石坝养护修理规程</w:t>
      </w:r>
      <w:r>
        <w:rPr>
          <w:rFonts w:hint="eastAsia" w:ascii="仿宋" w:hAnsi="仿宋" w:eastAsia="仿宋"/>
          <w:spacing w:val="0"/>
          <w:position w:val="0"/>
          <w:sz w:val="24"/>
          <w:szCs w:val="24"/>
        </w:rPr>
        <w:t>》</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214-2015</w:t>
      </w:r>
      <w:r>
        <w:rPr>
          <w:rFonts w:hint="eastAsia" w:ascii="仿宋" w:hAnsi="仿宋" w:eastAsia="仿宋"/>
          <w:spacing w:val="0"/>
          <w:position w:val="0"/>
          <w:sz w:val="24"/>
          <w:szCs w:val="24"/>
        </w:rPr>
        <w:t>《：水闸安全评价导则》</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223-2007：《水利水电建设工程验收规程》</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 xml:space="preserve">230-2015 </w:t>
      </w:r>
      <w:r>
        <w:rPr>
          <w:rFonts w:hint="eastAsia" w:ascii="仿宋" w:hAnsi="仿宋" w:eastAsia="仿宋"/>
          <w:spacing w:val="0"/>
          <w:position w:val="0"/>
          <w:sz w:val="24"/>
          <w:szCs w:val="24"/>
        </w:rPr>
        <w:t>：《</w:t>
      </w:r>
      <w:r>
        <w:rPr>
          <w:rFonts w:ascii="仿宋" w:hAnsi="仿宋" w:eastAsia="仿宋"/>
          <w:spacing w:val="0"/>
          <w:position w:val="0"/>
          <w:sz w:val="24"/>
          <w:szCs w:val="24"/>
        </w:rPr>
        <w:t>混凝土坝养护修理规程</w:t>
      </w:r>
      <w:r>
        <w:rPr>
          <w:rFonts w:hint="eastAsia" w:ascii="仿宋" w:hAnsi="仿宋" w:eastAsia="仿宋"/>
          <w:spacing w:val="0"/>
          <w:position w:val="0"/>
          <w:sz w:val="24"/>
          <w:szCs w:val="24"/>
        </w:rPr>
        <w:t>》</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 xml:space="preserve">258-2017 </w:t>
      </w:r>
      <w:r>
        <w:rPr>
          <w:rFonts w:hint="eastAsia" w:ascii="仿宋" w:hAnsi="仿宋" w:eastAsia="仿宋"/>
          <w:spacing w:val="0"/>
          <w:position w:val="0"/>
          <w:sz w:val="24"/>
          <w:szCs w:val="24"/>
        </w:rPr>
        <w:t>：《</w:t>
      </w:r>
      <w:r>
        <w:rPr>
          <w:rFonts w:ascii="仿宋" w:hAnsi="仿宋" w:eastAsia="仿宋"/>
          <w:spacing w:val="0"/>
          <w:position w:val="0"/>
          <w:sz w:val="24"/>
          <w:szCs w:val="24"/>
        </w:rPr>
        <w:t>水库大坝安全评价导则</w:t>
      </w:r>
      <w:r>
        <w:rPr>
          <w:rFonts w:hint="eastAsia" w:ascii="仿宋" w:hAnsi="仿宋" w:eastAsia="仿宋"/>
          <w:spacing w:val="0"/>
          <w:position w:val="0"/>
          <w:sz w:val="24"/>
          <w:szCs w:val="24"/>
        </w:rPr>
        <w:t>》</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279-2002:</w:t>
      </w:r>
      <w:r>
        <w:rPr>
          <w:rFonts w:hint="eastAsia" w:ascii="仿宋" w:hAnsi="仿宋" w:eastAsia="仿宋"/>
          <w:spacing w:val="0"/>
          <w:position w:val="0"/>
          <w:sz w:val="24"/>
          <w:szCs w:val="24"/>
        </w:rPr>
        <w:t>《水工隧洞设计规范》</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316-2015</w:t>
      </w:r>
      <w:r>
        <w:rPr>
          <w:rFonts w:hint="eastAsia" w:ascii="仿宋" w:hAnsi="仿宋" w:eastAsia="仿宋"/>
          <w:spacing w:val="0"/>
          <w:position w:val="0"/>
          <w:sz w:val="24"/>
          <w:szCs w:val="24"/>
        </w:rPr>
        <w:t>：《泵站安全鉴定规程》</w:t>
      </w:r>
    </w:p>
    <w:bookmarkEnd w:id="4"/>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482-2011:</w:t>
      </w:r>
      <w:r>
        <w:rPr>
          <w:rFonts w:hint="eastAsia" w:ascii="仿宋" w:hAnsi="仿宋" w:eastAsia="仿宋"/>
          <w:spacing w:val="0"/>
          <w:position w:val="0"/>
          <w:sz w:val="24"/>
          <w:szCs w:val="24"/>
        </w:rPr>
        <w:t>《灌溉与排水渠系建筑物设计规范》</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551-2012</w:t>
      </w:r>
      <w:r>
        <w:rPr>
          <w:rFonts w:hint="eastAsia" w:ascii="仿宋" w:hAnsi="仿宋" w:eastAsia="仿宋"/>
          <w:spacing w:val="0"/>
          <w:position w:val="0"/>
          <w:sz w:val="24"/>
          <w:szCs w:val="24"/>
        </w:rPr>
        <w:t>：《</w:t>
      </w:r>
      <w:r>
        <w:rPr>
          <w:rFonts w:ascii="仿宋" w:hAnsi="仿宋" w:eastAsia="仿宋"/>
          <w:spacing w:val="0"/>
          <w:position w:val="0"/>
          <w:sz w:val="24"/>
          <w:szCs w:val="24"/>
        </w:rPr>
        <w:t>土石坝安全监测技术规范</w:t>
      </w:r>
      <w:r>
        <w:rPr>
          <w:rFonts w:hint="eastAsia" w:ascii="仿宋" w:hAnsi="仿宋" w:eastAsia="仿宋"/>
          <w:spacing w:val="0"/>
          <w:position w:val="0"/>
          <w:sz w:val="24"/>
          <w:szCs w:val="24"/>
        </w:rPr>
        <w:t>》</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w:t>
      </w:r>
      <w:r>
        <w:rPr>
          <w:rFonts w:hint="eastAsia" w:ascii="仿宋" w:hAnsi="仿宋" w:eastAsia="仿宋"/>
          <w:spacing w:val="0"/>
          <w:position w:val="0"/>
          <w:sz w:val="24"/>
          <w:szCs w:val="24"/>
        </w:rPr>
        <w:t>/</w:t>
      </w:r>
      <w:r>
        <w:rPr>
          <w:rFonts w:ascii="仿宋" w:hAnsi="仿宋" w:eastAsia="仿宋"/>
          <w:spacing w:val="0"/>
          <w:position w:val="0"/>
          <w:sz w:val="24"/>
          <w:szCs w:val="24"/>
        </w:rPr>
        <w:t>Z</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679-2015:</w:t>
      </w:r>
      <w:r>
        <w:rPr>
          <w:rFonts w:hint="eastAsia" w:ascii="仿宋" w:hAnsi="仿宋" w:eastAsia="仿宋"/>
          <w:spacing w:val="0"/>
          <w:position w:val="0"/>
          <w:sz w:val="24"/>
          <w:szCs w:val="24"/>
        </w:rPr>
        <w:t>《堤防安全评价导则》</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SL/T 804-2020:</w:t>
      </w:r>
      <w:r>
        <w:rPr>
          <w:rFonts w:hint="eastAsia" w:ascii="仿宋" w:hAnsi="仿宋" w:eastAsia="仿宋"/>
          <w:spacing w:val="0"/>
          <w:position w:val="0"/>
          <w:sz w:val="24"/>
          <w:szCs w:val="24"/>
        </w:rPr>
        <w:t>《淤地坝技术规范》</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ascii="仿宋" w:hAnsi="仿宋" w:eastAsia="仿宋"/>
          <w:spacing w:val="0"/>
          <w:position w:val="0"/>
          <w:sz w:val="24"/>
          <w:szCs w:val="24"/>
        </w:rPr>
      </w:pPr>
      <w:r>
        <w:rPr>
          <w:rFonts w:ascii="仿宋" w:hAnsi="仿宋" w:eastAsia="仿宋"/>
          <w:spacing w:val="0"/>
          <w:position w:val="0"/>
          <w:sz w:val="24"/>
          <w:szCs w:val="24"/>
        </w:rPr>
        <w:t>DL</w:t>
      </w:r>
      <w:r>
        <w:rPr>
          <w:rFonts w:hint="eastAsia" w:ascii="仿宋" w:hAnsi="仿宋" w:eastAsia="仿宋"/>
          <w:spacing w:val="0"/>
          <w:position w:val="0"/>
          <w:sz w:val="24"/>
          <w:szCs w:val="24"/>
        </w:rPr>
        <w:t>/</w:t>
      </w:r>
      <w:r>
        <w:rPr>
          <w:rFonts w:ascii="仿宋" w:hAnsi="仿宋" w:eastAsia="仿宋"/>
          <w:spacing w:val="0"/>
          <w:position w:val="0"/>
          <w:sz w:val="24"/>
          <w:szCs w:val="24"/>
        </w:rPr>
        <w:t>T</w:t>
      </w:r>
      <w:r>
        <w:rPr>
          <w:rFonts w:hint="eastAsia" w:ascii="仿宋" w:hAnsi="仿宋" w:eastAsia="仿宋"/>
          <w:spacing w:val="0"/>
          <w:position w:val="0"/>
          <w:sz w:val="24"/>
          <w:szCs w:val="24"/>
        </w:rPr>
        <w:t xml:space="preserve"> </w:t>
      </w:r>
      <w:r>
        <w:rPr>
          <w:rFonts w:ascii="仿宋" w:hAnsi="仿宋" w:eastAsia="仿宋"/>
          <w:spacing w:val="0"/>
          <w:position w:val="0"/>
          <w:sz w:val="24"/>
          <w:szCs w:val="24"/>
        </w:rPr>
        <w:t>595-2016</w:t>
      </w:r>
      <w:r>
        <w:rPr>
          <w:rFonts w:hint="eastAsia" w:ascii="仿宋" w:hAnsi="仿宋" w:eastAsia="仿宋"/>
          <w:spacing w:val="0"/>
          <w:position w:val="0"/>
          <w:sz w:val="24"/>
          <w:szCs w:val="24"/>
        </w:rPr>
        <w:t>：《六氟化硫电气设备气体监督导则》</w:t>
      </w:r>
    </w:p>
    <w:p>
      <w:pPr>
        <w:keepNext w:val="0"/>
        <w:keepLines w:val="0"/>
        <w:pageBreakBefore w:val="0"/>
        <w:widowControl w:val="0"/>
        <w:numPr>
          <w:ilvl w:val="0"/>
          <w:numId w:val="9"/>
        </w:numPr>
        <w:kinsoku/>
        <w:wordWrap/>
        <w:overflowPunct w:val="0"/>
        <w:topLinePunct w:val="0"/>
        <w:autoSpaceDE/>
        <w:autoSpaceDN/>
        <w:bidi w:val="0"/>
        <w:adjustRightInd w:val="0"/>
        <w:snapToGrid w:val="0"/>
        <w:spacing w:line="258" w:lineRule="exact"/>
        <w:ind w:left="0" w:leftChars="0" w:firstLine="0" w:firstLineChars="0"/>
        <w:textAlignment w:val="auto"/>
        <w:rPr>
          <w:rFonts w:hint="eastAsia" w:ascii="仿宋" w:hAnsi="仿宋" w:eastAsia="仿宋"/>
          <w:spacing w:val="0"/>
          <w:position w:val="0"/>
          <w:sz w:val="24"/>
          <w:szCs w:val="24"/>
        </w:rPr>
      </w:pPr>
      <w:r>
        <w:rPr>
          <w:rFonts w:hint="eastAsia" w:ascii="仿宋" w:hAnsi="仿宋" w:eastAsia="仿宋"/>
          <w:spacing w:val="0"/>
          <w:position w:val="0"/>
          <w:sz w:val="24"/>
          <w:szCs w:val="24"/>
        </w:rPr>
        <w:t>T/CHES 22-2018:《渡槽安全评价导则》</w:t>
      </w:r>
    </w:p>
    <w:p>
      <w:pPr>
        <w:keepNext w:val="0"/>
        <w:keepLines w:val="0"/>
        <w:pageBreakBefore w:val="0"/>
        <w:widowControl w:val="0"/>
        <w:kinsoku/>
        <w:wordWrap/>
        <w:overflowPunct w:val="0"/>
        <w:topLinePunct w:val="0"/>
        <w:autoSpaceDE/>
        <w:autoSpaceDN/>
        <w:bidi w:val="0"/>
        <w:adjustRightInd w:val="0"/>
        <w:snapToGrid w:val="0"/>
        <w:spacing w:line="258" w:lineRule="exact"/>
        <w:ind w:left="0" w:leftChars="0" w:firstLine="0" w:firstLineChars="0"/>
        <w:textAlignment w:val="auto"/>
        <w:rPr>
          <w:rFonts w:hint="default"/>
          <w:spacing w:val="0"/>
          <w:position w:val="0"/>
          <w:lang w:val="en-US" w:eastAsia="zh-CN"/>
        </w:rPr>
        <w:sectPr>
          <w:type w:val="continuous"/>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425" w:num="1"/>
          <w:rtlGutter w:val="0"/>
          <w:docGrid w:type="lines" w:linePitch="465" w:charSpace="0"/>
        </w:sectPr>
      </w:pPr>
    </w:p>
    <w:p>
      <w:pPr>
        <w:pStyle w:val="5"/>
        <w:bidi w:val="0"/>
        <w:ind w:left="0" w:leftChars="0" w:firstLine="0" w:firstLineChars="0"/>
        <w:rPr>
          <w:rFonts w:hint="eastAsia"/>
          <w:lang w:val="en-US" w:eastAsia="zh-CN"/>
        </w:rPr>
      </w:pPr>
      <w:r>
        <w:rPr>
          <w:rFonts w:hint="eastAsia"/>
          <w:lang w:val="en-US" w:eastAsia="zh-CN"/>
        </w:rPr>
        <w:t>附件2</w:t>
      </w:r>
    </w:p>
    <w:p>
      <w:pPr>
        <w:pStyle w:val="7"/>
        <w:bidi w:val="0"/>
        <w:rPr>
          <w:rFonts w:hint="default"/>
          <w:lang w:val="en-US" w:eastAsia="zh-CN"/>
        </w:rPr>
      </w:pPr>
      <w:r>
        <w:rPr>
          <w:rFonts w:hint="default"/>
          <w:lang w:val="en-US" w:eastAsia="zh-CN"/>
        </w:rPr>
        <w:t>重大事故隐患专项排查整治行动进展情况调度表</w:t>
      </w:r>
    </w:p>
    <w:tbl>
      <w:tblPr>
        <w:tblStyle w:val="20"/>
        <w:tblW w:w="11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0"/>
        <w:gridCol w:w="2940"/>
        <w:gridCol w:w="2593"/>
        <w:gridCol w:w="1230"/>
        <w:gridCol w:w="2351"/>
        <w:gridCol w:w="1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6"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黑体" w:cs="Times New Roman"/>
                <w:spacing w:val="0"/>
                <w:kern w:val="0"/>
                <w:sz w:val="24"/>
                <w:szCs w:val="24"/>
                <w:vertAlign w:val="baseline"/>
              </w:rPr>
            </w:pPr>
            <w:r>
              <w:rPr>
                <w:rFonts w:hint="eastAsia" w:ascii="黑体" w:hAnsi="宋体" w:eastAsia="黑体" w:cs="黑体"/>
                <w:snapToGrid w:val="0"/>
                <w:color w:val="000000"/>
                <w:spacing w:val="0"/>
                <w:kern w:val="0"/>
                <w:sz w:val="24"/>
                <w:szCs w:val="24"/>
                <w:vertAlign w:val="baseline"/>
                <w:lang w:val="en-US" w:eastAsia="zh-CN" w:bidi="ar"/>
              </w:rPr>
              <w:t>序号</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黑体" w:cs="Times New Roman"/>
                <w:spacing w:val="0"/>
                <w:kern w:val="0"/>
                <w:sz w:val="24"/>
                <w:szCs w:val="24"/>
                <w:vertAlign w:val="baseline"/>
              </w:rPr>
            </w:pPr>
            <w:r>
              <w:rPr>
                <w:rFonts w:hint="eastAsia" w:ascii="黑体" w:hAnsi="宋体" w:eastAsia="黑体" w:cs="黑体"/>
                <w:snapToGrid w:val="0"/>
                <w:color w:val="000000"/>
                <w:spacing w:val="0"/>
                <w:kern w:val="0"/>
                <w:sz w:val="24"/>
                <w:szCs w:val="24"/>
                <w:vertAlign w:val="baseline"/>
                <w:lang w:val="en-US" w:eastAsia="zh-CN" w:bidi="ar"/>
              </w:rPr>
              <w:t>科室（单位）</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黑体" w:cs="Times New Roman"/>
                <w:spacing w:val="0"/>
                <w:kern w:val="0"/>
                <w:sz w:val="24"/>
                <w:szCs w:val="24"/>
                <w:vertAlign w:val="baseline"/>
              </w:rPr>
            </w:pPr>
            <w:r>
              <w:rPr>
                <w:rFonts w:hint="eastAsia" w:ascii="黑体" w:hAnsi="宋体" w:eastAsia="黑体" w:cs="黑体"/>
                <w:snapToGrid w:val="0"/>
                <w:color w:val="000000"/>
                <w:spacing w:val="0"/>
                <w:kern w:val="0"/>
                <w:sz w:val="24"/>
                <w:szCs w:val="24"/>
                <w:vertAlign w:val="baseline"/>
                <w:lang w:val="en-US" w:eastAsia="zh-CN" w:bidi="ar"/>
              </w:rPr>
              <w:t>组织专题学习安全生产十五条硬措施（次）</w:t>
            </w: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黑体" w:cs="Times New Roman"/>
                <w:spacing w:val="0"/>
                <w:kern w:val="0"/>
                <w:sz w:val="24"/>
                <w:szCs w:val="24"/>
                <w:vertAlign w:val="baseline"/>
              </w:rPr>
            </w:pPr>
            <w:r>
              <w:rPr>
                <w:rFonts w:hint="eastAsia" w:ascii="黑体" w:hAnsi="宋体" w:eastAsia="黑体" w:cs="黑体"/>
                <w:snapToGrid w:val="0"/>
                <w:color w:val="000000"/>
                <w:spacing w:val="0"/>
                <w:kern w:val="0"/>
                <w:sz w:val="24"/>
                <w:szCs w:val="24"/>
                <w:vertAlign w:val="baseline"/>
                <w:lang w:val="en-US" w:eastAsia="zh-CN" w:bidi="ar"/>
              </w:rPr>
              <w:t>到企业宣讲（次）</w:t>
            </w: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黑体" w:cs="Times New Roman"/>
                <w:spacing w:val="0"/>
                <w:kern w:val="0"/>
                <w:sz w:val="24"/>
                <w:szCs w:val="24"/>
                <w:vertAlign w:val="baseline"/>
              </w:rPr>
            </w:pPr>
            <w:r>
              <w:rPr>
                <w:rFonts w:hint="eastAsia" w:ascii="黑体" w:hAnsi="宋体" w:eastAsia="黑体" w:cs="黑体"/>
                <w:snapToGrid w:val="0"/>
                <w:color w:val="000000"/>
                <w:spacing w:val="0"/>
                <w:kern w:val="0"/>
                <w:sz w:val="24"/>
                <w:szCs w:val="24"/>
                <w:vertAlign w:val="baseline"/>
                <w:lang w:val="en-US" w:eastAsia="zh-CN" w:bidi="ar"/>
              </w:rPr>
              <w:t>配备专兼职技术检查人员数量（人）</w:t>
            </w: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黑体" w:cs="Times New Roman"/>
                <w:spacing w:val="0"/>
                <w:kern w:val="0"/>
                <w:sz w:val="24"/>
                <w:szCs w:val="24"/>
                <w:vertAlign w:val="baseline"/>
              </w:rPr>
            </w:pPr>
            <w:r>
              <w:rPr>
                <w:rFonts w:hint="eastAsia" w:ascii="黑体" w:hAnsi="宋体" w:eastAsia="黑体" w:cs="黑体"/>
                <w:snapToGrid w:val="0"/>
                <w:color w:val="000000"/>
                <w:spacing w:val="0"/>
                <w:kern w:val="0"/>
                <w:sz w:val="24"/>
                <w:szCs w:val="24"/>
                <w:vertAlign w:val="baseline"/>
                <w:lang w:val="en-US" w:eastAsia="zh-CN" w:bidi="ar"/>
              </w:rPr>
              <w:t>组织开展督导检查（次）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default" w:ascii="Times New Roman" w:hAnsi="Times New Roman" w:eastAsia="仿宋_GB2312" w:cs="Times New Roman"/>
                <w:snapToGrid w:val="0"/>
                <w:color w:val="000000"/>
                <w:spacing w:val="0"/>
                <w:kern w:val="0"/>
                <w:sz w:val="24"/>
                <w:szCs w:val="24"/>
                <w:vertAlign w:val="baseline"/>
                <w:lang w:val="en-US" w:eastAsia="zh-CN" w:bidi="ar"/>
              </w:rPr>
              <w:t>1</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eastAsia" w:ascii="仿宋_GB2312" w:hAnsi="Times New Roman" w:eastAsia="仿宋_GB2312" w:cs="仿宋_GB2312"/>
                <w:snapToGrid w:val="0"/>
                <w:color w:val="000000"/>
                <w:spacing w:val="0"/>
                <w:kern w:val="0"/>
                <w:sz w:val="24"/>
                <w:szCs w:val="24"/>
                <w:vertAlign w:val="baseline"/>
                <w:lang w:val="en-US" w:eastAsia="zh-CN" w:bidi="ar"/>
              </w:rPr>
              <w:t>海勃湾区</w:t>
            </w:r>
            <w:r>
              <w:rPr>
                <w:rFonts w:hint="eastAsia" w:ascii="仿宋_GB2312" w:eastAsia="仿宋_GB2312" w:cs="仿宋_GB2312"/>
                <w:snapToGrid w:val="0"/>
                <w:color w:val="000000"/>
                <w:spacing w:val="0"/>
                <w:kern w:val="0"/>
                <w:sz w:val="24"/>
                <w:szCs w:val="24"/>
                <w:vertAlign w:val="baseline"/>
                <w:lang w:val="en-US" w:eastAsia="zh-CN" w:bidi="ar"/>
              </w:rPr>
              <w:t>农牧水务局</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default" w:ascii="Times New Roman" w:hAnsi="Times New Roman" w:eastAsia="仿宋_GB2312" w:cs="Times New Roman"/>
                <w:snapToGrid w:val="0"/>
                <w:color w:val="000000"/>
                <w:spacing w:val="0"/>
                <w:kern w:val="0"/>
                <w:sz w:val="24"/>
                <w:szCs w:val="24"/>
                <w:vertAlign w:val="baseline"/>
                <w:lang w:val="en-US" w:eastAsia="zh-CN" w:bidi="ar"/>
              </w:rPr>
              <w:t>2</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eastAsia" w:ascii="仿宋_GB2312" w:hAnsi="Times New Roman" w:eastAsia="仿宋_GB2312" w:cs="仿宋_GB2312"/>
                <w:snapToGrid w:val="0"/>
                <w:color w:val="000000"/>
                <w:spacing w:val="0"/>
                <w:kern w:val="0"/>
                <w:sz w:val="24"/>
                <w:szCs w:val="24"/>
                <w:vertAlign w:val="baseline"/>
                <w:lang w:val="en-US" w:eastAsia="zh-CN" w:bidi="ar"/>
              </w:rPr>
              <w:t>乌达区</w:t>
            </w:r>
            <w:r>
              <w:rPr>
                <w:rFonts w:hint="eastAsia" w:ascii="仿宋_GB2312" w:eastAsia="仿宋_GB2312" w:cs="仿宋_GB2312"/>
                <w:snapToGrid w:val="0"/>
                <w:color w:val="000000"/>
                <w:spacing w:val="0"/>
                <w:kern w:val="0"/>
                <w:sz w:val="24"/>
                <w:szCs w:val="24"/>
                <w:vertAlign w:val="baseline"/>
                <w:lang w:val="en-US" w:eastAsia="zh-CN" w:bidi="ar"/>
              </w:rPr>
              <w:t>农牧水务局</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default" w:ascii="Times New Roman" w:hAnsi="Times New Roman" w:eastAsia="仿宋_GB2312" w:cs="Times New Roman"/>
                <w:snapToGrid w:val="0"/>
                <w:color w:val="000000"/>
                <w:spacing w:val="0"/>
                <w:kern w:val="0"/>
                <w:sz w:val="24"/>
                <w:szCs w:val="24"/>
                <w:vertAlign w:val="baseline"/>
                <w:lang w:val="en-US" w:eastAsia="zh-CN" w:bidi="ar"/>
              </w:rPr>
              <w:t>3</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eastAsia" w:ascii="仿宋_GB2312" w:hAnsi="Times New Roman" w:eastAsia="仿宋_GB2312" w:cs="仿宋_GB2312"/>
                <w:snapToGrid w:val="0"/>
                <w:color w:val="000000"/>
                <w:spacing w:val="0"/>
                <w:kern w:val="0"/>
                <w:sz w:val="24"/>
                <w:szCs w:val="24"/>
                <w:vertAlign w:val="baseline"/>
                <w:lang w:val="en-US" w:eastAsia="zh-CN" w:bidi="ar"/>
              </w:rPr>
              <w:t>海南区</w:t>
            </w:r>
            <w:r>
              <w:rPr>
                <w:rFonts w:hint="eastAsia" w:ascii="仿宋_GB2312" w:eastAsia="仿宋_GB2312" w:cs="仿宋_GB2312"/>
                <w:snapToGrid w:val="0"/>
                <w:color w:val="000000"/>
                <w:spacing w:val="0"/>
                <w:kern w:val="0"/>
                <w:sz w:val="24"/>
                <w:szCs w:val="24"/>
                <w:vertAlign w:val="baseline"/>
                <w:lang w:val="en-US" w:eastAsia="zh-CN" w:bidi="ar"/>
              </w:rPr>
              <w:t>农牧水务局</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double" w:color="auto" w:sz="2"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eastAsia" w:ascii="Times New Roman" w:hAnsi="Times New Roman" w:eastAsia="仿宋_GB2312" w:cs="Times New Roman"/>
                <w:spacing w:val="0"/>
                <w:kern w:val="0"/>
                <w:sz w:val="24"/>
                <w:szCs w:val="24"/>
                <w:vertAlign w:val="baseline"/>
                <w:lang w:val="en-US" w:eastAsia="zh-CN"/>
              </w:rPr>
            </w:pPr>
            <w:r>
              <w:rPr>
                <w:rFonts w:hint="eastAsia" w:eastAsia="仿宋_GB2312" w:cs="Times New Roman"/>
                <w:spacing w:val="0"/>
                <w:kern w:val="0"/>
                <w:sz w:val="24"/>
                <w:szCs w:val="24"/>
                <w:vertAlign w:val="baseline"/>
                <w:lang w:val="en-US" w:eastAsia="zh-CN"/>
              </w:rPr>
              <w:t>4</w:t>
            </w:r>
          </w:p>
        </w:tc>
        <w:tc>
          <w:tcPr>
            <w:tcW w:w="2940" w:type="dxa"/>
            <w:tcBorders>
              <w:top w:val="double" w:color="auto" w:sz="2"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eastAsia" w:ascii="Times New Roman" w:hAnsi="Times New Roman" w:eastAsia="仿宋_GB2312" w:cs="Times New Roman"/>
                <w:spacing w:val="0"/>
                <w:kern w:val="0"/>
                <w:sz w:val="24"/>
                <w:szCs w:val="24"/>
                <w:vertAlign w:val="baseline"/>
                <w:lang w:eastAsia="zh-CN"/>
              </w:rPr>
            </w:pPr>
            <w:r>
              <w:rPr>
                <w:rFonts w:hint="eastAsia" w:eastAsia="仿宋_GB2312" w:cs="Times New Roman"/>
                <w:spacing w:val="0"/>
                <w:kern w:val="0"/>
                <w:sz w:val="24"/>
                <w:szCs w:val="24"/>
                <w:vertAlign w:val="baseline"/>
                <w:lang w:eastAsia="zh-CN"/>
              </w:rPr>
              <w:t>办公室</w:t>
            </w:r>
          </w:p>
        </w:tc>
        <w:tc>
          <w:tcPr>
            <w:tcW w:w="2593" w:type="dxa"/>
            <w:tcBorders>
              <w:top w:val="double" w:color="auto" w:sz="2"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double" w:color="auto" w:sz="2"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double" w:color="auto" w:sz="2"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double" w:color="auto" w:sz="2"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eastAsia" w:ascii="Times New Roman" w:hAnsi="Times New Roman" w:eastAsia="仿宋_GB2312" w:cs="Times New Roman"/>
                <w:spacing w:val="0"/>
                <w:kern w:val="0"/>
                <w:sz w:val="24"/>
                <w:szCs w:val="24"/>
                <w:vertAlign w:val="baseline"/>
                <w:lang w:val="en-US" w:eastAsia="zh-CN"/>
              </w:rPr>
            </w:pPr>
            <w:r>
              <w:rPr>
                <w:rFonts w:hint="eastAsia" w:eastAsia="仿宋_GB2312" w:cs="Times New Roman"/>
                <w:spacing w:val="0"/>
                <w:kern w:val="0"/>
                <w:sz w:val="24"/>
                <w:szCs w:val="24"/>
                <w:vertAlign w:val="baseline"/>
                <w:lang w:val="en-US" w:eastAsia="zh-CN"/>
              </w:rPr>
              <w:t>5</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eastAsia" w:eastAsia="仿宋_GB2312" w:cs="Times New Roman"/>
                <w:spacing w:val="0"/>
                <w:kern w:val="0"/>
                <w:sz w:val="24"/>
                <w:szCs w:val="24"/>
                <w:vertAlign w:val="baseline"/>
                <w:lang w:eastAsia="zh-CN"/>
              </w:rPr>
              <w:t>水政和水资源管理科</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eastAsia" w:ascii="Times New Roman" w:hAnsi="Times New Roman" w:eastAsia="仿宋_GB2312" w:cs="Times New Roman"/>
                <w:spacing w:val="0"/>
                <w:kern w:val="0"/>
                <w:sz w:val="24"/>
                <w:szCs w:val="24"/>
                <w:vertAlign w:val="baseline"/>
                <w:lang w:val="en-US" w:eastAsia="zh-CN"/>
              </w:rPr>
            </w:pPr>
            <w:r>
              <w:rPr>
                <w:rFonts w:hint="eastAsia" w:eastAsia="仿宋_GB2312" w:cs="Times New Roman"/>
                <w:spacing w:val="0"/>
                <w:kern w:val="0"/>
                <w:sz w:val="24"/>
                <w:szCs w:val="24"/>
                <w:vertAlign w:val="baseline"/>
                <w:lang w:val="en-US" w:eastAsia="zh-CN"/>
              </w:rPr>
              <w:t>6</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default" w:ascii="Times New Roman" w:hAnsi="Times New Roman" w:eastAsia="仿宋_GB2312" w:cs="Times New Roman"/>
                <w:spacing w:val="0"/>
                <w:kern w:val="0"/>
                <w:sz w:val="24"/>
                <w:szCs w:val="24"/>
                <w:vertAlign w:val="baseline"/>
                <w:lang w:val="en-US" w:eastAsia="zh-CN"/>
              </w:rPr>
              <w:t>河湖和运行监督管理科</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eastAsia" w:ascii="Times New Roman" w:hAnsi="Times New Roman" w:eastAsia="仿宋_GB2312" w:cs="Times New Roman"/>
                <w:spacing w:val="0"/>
                <w:kern w:val="0"/>
                <w:sz w:val="24"/>
                <w:szCs w:val="24"/>
                <w:vertAlign w:val="baseline"/>
                <w:lang w:val="en-US" w:eastAsia="zh-CN"/>
              </w:rPr>
            </w:pPr>
            <w:r>
              <w:rPr>
                <w:rFonts w:hint="eastAsia" w:eastAsia="仿宋_GB2312" w:cs="Times New Roman"/>
                <w:spacing w:val="0"/>
                <w:kern w:val="0"/>
                <w:sz w:val="24"/>
                <w:szCs w:val="24"/>
                <w:vertAlign w:val="baseline"/>
                <w:lang w:val="en-US" w:eastAsia="zh-CN"/>
              </w:rPr>
              <w:t>7</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default" w:ascii="Times New Roman" w:hAnsi="Times New Roman" w:eastAsia="仿宋_GB2312" w:cs="Times New Roman"/>
                <w:spacing w:val="0"/>
                <w:kern w:val="0"/>
                <w:sz w:val="24"/>
                <w:szCs w:val="24"/>
                <w:vertAlign w:val="baseline"/>
                <w:lang w:val="en-US" w:eastAsia="zh-CN"/>
              </w:rPr>
              <w:t>计划财务科</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eastAsia" w:ascii="Times New Roman" w:hAnsi="Times New Roman" w:eastAsia="仿宋_GB2312" w:cs="Times New Roman"/>
                <w:spacing w:val="0"/>
                <w:kern w:val="0"/>
                <w:sz w:val="24"/>
                <w:szCs w:val="24"/>
                <w:vertAlign w:val="baseline"/>
                <w:lang w:val="en-US" w:eastAsia="zh-CN"/>
              </w:rPr>
            </w:pPr>
            <w:r>
              <w:rPr>
                <w:rFonts w:hint="eastAsia" w:eastAsia="仿宋_GB2312" w:cs="Times New Roman"/>
                <w:spacing w:val="0"/>
                <w:kern w:val="0"/>
                <w:sz w:val="24"/>
                <w:szCs w:val="24"/>
                <w:vertAlign w:val="baseline"/>
                <w:lang w:val="en-US" w:eastAsia="zh-CN"/>
              </w:rPr>
              <w:t>8</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r>
              <w:rPr>
                <w:rFonts w:hint="default" w:ascii="Times New Roman" w:hAnsi="Times New Roman" w:eastAsia="仿宋_GB2312" w:cs="Times New Roman"/>
                <w:spacing w:val="0"/>
                <w:kern w:val="0"/>
                <w:sz w:val="24"/>
                <w:szCs w:val="24"/>
                <w:vertAlign w:val="baseline"/>
                <w:lang w:val="en-US" w:eastAsia="zh-CN"/>
              </w:rPr>
              <w:t>水旱灾害防御科</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napToGrid w:val="0"/>
                <w:color w:val="000000"/>
                <w:spacing w:val="0"/>
                <w:kern w:val="0"/>
                <w:sz w:val="24"/>
                <w:szCs w:val="24"/>
                <w:vertAlign w:val="baseline"/>
                <w:lang w:val="en-US" w:eastAsia="zh-CN" w:bidi="ar"/>
              </w:rPr>
            </w:pPr>
            <w:r>
              <w:rPr>
                <w:rFonts w:hint="eastAsia" w:eastAsia="仿宋_GB2312" w:cs="Times New Roman"/>
                <w:snapToGrid w:val="0"/>
                <w:color w:val="000000"/>
                <w:spacing w:val="0"/>
                <w:kern w:val="0"/>
                <w:sz w:val="24"/>
                <w:szCs w:val="24"/>
                <w:vertAlign w:val="baseline"/>
                <w:lang w:val="en-US" w:eastAsia="zh-CN" w:bidi="ar"/>
              </w:rPr>
              <w:t>9</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lang w:val="en-US" w:eastAsia="zh-CN"/>
              </w:rPr>
            </w:pPr>
            <w:r>
              <w:rPr>
                <w:rFonts w:hint="default" w:ascii="Times New Roman" w:hAnsi="Times New Roman" w:eastAsia="仿宋_GB2312" w:cs="Times New Roman"/>
                <w:spacing w:val="0"/>
                <w:kern w:val="0"/>
                <w:sz w:val="24"/>
                <w:szCs w:val="24"/>
                <w:vertAlign w:val="baseline"/>
                <w:lang w:val="en-US" w:eastAsia="zh-CN"/>
              </w:rPr>
              <w:t>水利和水保科</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napToGrid w:val="0"/>
                <w:color w:val="000000"/>
                <w:spacing w:val="0"/>
                <w:kern w:val="0"/>
                <w:sz w:val="24"/>
                <w:szCs w:val="24"/>
                <w:vertAlign w:val="baseline"/>
                <w:lang w:val="en-US" w:eastAsia="zh-CN" w:bidi="ar"/>
              </w:rPr>
            </w:pPr>
            <w:r>
              <w:rPr>
                <w:rFonts w:hint="eastAsia" w:eastAsia="仿宋_GB2312" w:cs="Times New Roman"/>
                <w:snapToGrid w:val="0"/>
                <w:color w:val="000000"/>
                <w:spacing w:val="0"/>
                <w:kern w:val="0"/>
                <w:sz w:val="24"/>
                <w:szCs w:val="24"/>
                <w:vertAlign w:val="baseline"/>
                <w:lang w:val="en-US" w:eastAsia="zh-CN" w:bidi="ar"/>
              </w:rPr>
              <w:t>10</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lang w:val="en-US" w:eastAsia="zh-CN"/>
              </w:rPr>
            </w:pPr>
            <w:r>
              <w:rPr>
                <w:rFonts w:hint="default" w:ascii="Times New Roman" w:hAnsi="Times New Roman" w:eastAsia="仿宋_GB2312" w:cs="Times New Roman"/>
                <w:spacing w:val="0"/>
                <w:kern w:val="0"/>
                <w:sz w:val="24"/>
                <w:szCs w:val="24"/>
                <w:vertAlign w:val="baseline"/>
                <w:lang w:val="en-US" w:eastAsia="zh-CN"/>
              </w:rPr>
              <w:t>水政综合行政执法支队</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napToGrid w:val="0"/>
                <w:color w:val="000000"/>
                <w:spacing w:val="0"/>
                <w:kern w:val="0"/>
                <w:sz w:val="24"/>
                <w:szCs w:val="24"/>
                <w:vertAlign w:val="baseline"/>
                <w:lang w:val="en-US" w:eastAsia="zh-CN" w:bidi="ar"/>
              </w:rPr>
            </w:pPr>
            <w:r>
              <w:rPr>
                <w:rFonts w:hint="eastAsia" w:eastAsia="仿宋_GB2312" w:cs="Times New Roman"/>
                <w:snapToGrid w:val="0"/>
                <w:color w:val="000000"/>
                <w:spacing w:val="0"/>
                <w:kern w:val="0"/>
                <w:sz w:val="24"/>
                <w:szCs w:val="24"/>
                <w:vertAlign w:val="baseline"/>
                <w:lang w:val="en-US" w:eastAsia="zh-CN" w:bidi="ar"/>
              </w:rPr>
              <w:t>11</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lang w:val="en-US" w:eastAsia="zh-CN"/>
              </w:rPr>
            </w:pPr>
            <w:r>
              <w:rPr>
                <w:rFonts w:hint="default" w:ascii="Times New Roman" w:hAnsi="Times New Roman" w:eastAsia="仿宋_GB2312" w:cs="Times New Roman"/>
                <w:spacing w:val="0"/>
                <w:kern w:val="0"/>
                <w:sz w:val="24"/>
                <w:szCs w:val="24"/>
                <w:vertAlign w:val="baseline"/>
                <w:lang w:val="en-US" w:eastAsia="zh-CN"/>
              </w:rPr>
              <w:t>水土保持工作站</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napToGrid w:val="0"/>
                <w:color w:val="000000"/>
                <w:spacing w:val="0"/>
                <w:kern w:val="0"/>
                <w:sz w:val="24"/>
                <w:szCs w:val="24"/>
                <w:vertAlign w:val="baseline"/>
                <w:lang w:val="en-US" w:eastAsia="zh-CN" w:bidi="ar"/>
              </w:rPr>
            </w:pPr>
            <w:r>
              <w:rPr>
                <w:rFonts w:hint="eastAsia" w:eastAsia="仿宋_GB2312" w:cs="Times New Roman"/>
                <w:snapToGrid w:val="0"/>
                <w:color w:val="000000"/>
                <w:spacing w:val="0"/>
                <w:kern w:val="0"/>
                <w:sz w:val="24"/>
                <w:szCs w:val="24"/>
                <w:vertAlign w:val="baseline"/>
                <w:lang w:val="en-US" w:eastAsia="zh-CN" w:bidi="ar"/>
              </w:rPr>
              <w:t>12</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lang w:val="en-US" w:eastAsia="zh-CN"/>
              </w:rPr>
            </w:pPr>
            <w:r>
              <w:rPr>
                <w:rFonts w:hint="default" w:ascii="Times New Roman" w:hAnsi="Times New Roman" w:eastAsia="仿宋_GB2312" w:cs="Times New Roman"/>
                <w:spacing w:val="0"/>
                <w:kern w:val="0"/>
                <w:sz w:val="24"/>
                <w:szCs w:val="24"/>
                <w:vertAlign w:val="baseline"/>
                <w:lang w:val="en-US" w:eastAsia="zh-CN"/>
              </w:rPr>
              <w:t>河湖与水旱灾害防御中心</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napToGrid w:val="0"/>
                <w:color w:val="000000"/>
                <w:spacing w:val="0"/>
                <w:kern w:val="0"/>
                <w:sz w:val="24"/>
                <w:szCs w:val="24"/>
                <w:vertAlign w:val="baseline"/>
                <w:lang w:val="en-US" w:eastAsia="zh-CN" w:bidi="ar"/>
              </w:rPr>
            </w:pPr>
            <w:r>
              <w:rPr>
                <w:rFonts w:hint="eastAsia" w:eastAsia="仿宋_GB2312" w:cs="Times New Roman"/>
                <w:snapToGrid w:val="0"/>
                <w:color w:val="000000"/>
                <w:spacing w:val="0"/>
                <w:kern w:val="0"/>
                <w:sz w:val="24"/>
                <w:szCs w:val="24"/>
                <w:vertAlign w:val="baseline"/>
                <w:lang w:val="en-US" w:eastAsia="zh-CN" w:bidi="ar"/>
              </w:rPr>
              <w:t>13</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lang w:val="en-US" w:eastAsia="zh-CN"/>
              </w:rPr>
            </w:pPr>
            <w:r>
              <w:rPr>
                <w:rFonts w:hint="default" w:ascii="Times New Roman" w:hAnsi="Times New Roman" w:eastAsia="仿宋_GB2312" w:cs="Times New Roman"/>
                <w:spacing w:val="0"/>
                <w:kern w:val="0"/>
                <w:sz w:val="24"/>
                <w:szCs w:val="24"/>
                <w:vertAlign w:val="baseline"/>
                <w:lang w:val="en-US" w:eastAsia="zh-CN"/>
              </w:rPr>
              <w:t>水资源服务中心</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napToGrid w:val="0"/>
                <w:color w:val="000000"/>
                <w:spacing w:val="0"/>
                <w:kern w:val="0"/>
                <w:sz w:val="24"/>
                <w:szCs w:val="24"/>
                <w:vertAlign w:val="baseline"/>
                <w:lang w:val="en-US" w:eastAsia="zh-CN" w:bidi="ar"/>
              </w:rPr>
            </w:pPr>
            <w:r>
              <w:rPr>
                <w:rFonts w:hint="eastAsia" w:eastAsia="仿宋_GB2312" w:cs="Times New Roman"/>
                <w:snapToGrid w:val="0"/>
                <w:color w:val="000000"/>
                <w:spacing w:val="0"/>
                <w:kern w:val="0"/>
                <w:sz w:val="24"/>
                <w:szCs w:val="24"/>
                <w:vertAlign w:val="baseline"/>
                <w:lang w:val="en-US" w:eastAsia="zh-CN" w:bidi="ar"/>
              </w:rPr>
              <w:t>14</w:t>
            </w:r>
          </w:p>
        </w:tc>
        <w:tc>
          <w:tcPr>
            <w:tcW w:w="2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lang w:val="en-US" w:eastAsia="zh-CN"/>
              </w:rPr>
            </w:pPr>
            <w:r>
              <w:rPr>
                <w:rFonts w:hint="default" w:ascii="Times New Roman" w:hAnsi="Times New Roman" w:eastAsia="仿宋_GB2312" w:cs="Times New Roman"/>
                <w:spacing w:val="0"/>
                <w:kern w:val="0"/>
                <w:sz w:val="24"/>
                <w:szCs w:val="24"/>
                <w:vertAlign w:val="baseline"/>
                <w:lang w:val="en-US" w:eastAsia="zh-CN"/>
              </w:rPr>
              <w:t>水利发展和工程质量监督服务中心</w:t>
            </w:r>
          </w:p>
        </w:tc>
        <w:tc>
          <w:tcPr>
            <w:tcW w:w="259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2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23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c>
          <w:tcPr>
            <w:tcW w:w="178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80" w:lineRule="exact"/>
              <w:ind w:left="0" w:right="0" w:firstLine="0" w:firstLineChars="0"/>
              <w:jc w:val="center"/>
              <w:textAlignment w:val="baseline"/>
              <w:rPr>
                <w:rFonts w:hint="default" w:ascii="Times New Roman" w:hAnsi="Times New Roman" w:eastAsia="仿宋_GB2312" w:cs="Times New Roman"/>
                <w:spacing w:val="0"/>
                <w:kern w:val="0"/>
                <w:sz w:val="24"/>
                <w:szCs w:val="24"/>
                <w:vertAlign w:val="baseline"/>
              </w:rPr>
            </w:pPr>
          </w:p>
        </w:tc>
      </w:tr>
    </w:tbl>
    <w:p>
      <w:pPr>
        <w:pStyle w:val="5"/>
        <w:bidi w:val="0"/>
        <w:ind w:left="0" w:leftChars="0" w:firstLine="0" w:firstLineChars="0"/>
        <w:rPr>
          <w:rFonts w:hint="eastAsia"/>
          <w:lang w:val="en-US" w:eastAsia="zh-CN"/>
        </w:rPr>
      </w:pPr>
      <w:r>
        <w:rPr>
          <w:rFonts w:hint="eastAsia"/>
          <w:lang w:val="en-US" w:eastAsia="zh-CN"/>
        </w:rPr>
        <w:t>附件3</w:t>
      </w:r>
    </w:p>
    <w:p>
      <w:pPr>
        <w:pStyle w:val="7"/>
        <w:bidi w:val="0"/>
        <w:rPr>
          <w:rFonts w:hint="default"/>
          <w:lang w:val="en-US" w:eastAsia="zh-CN"/>
        </w:rPr>
      </w:pPr>
      <w:r>
        <w:rPr>
          <w:rFonts w:hint="default"/>
          <w:lang w:val="en-US" w:eastAsia="zh-CN"/>
        </w:rPr>
        <w:t>重大事故隐患专项排查整治行动</w:t>
      </w:r>
      <w:r>
        <w:rPr>
          <w:rFonts w:hint="eastAsia"/>
          <w:lang w:val="en-US" w:eastAsia="zh-CN"/>
        </w:rPr>
        <w:t>抽查检查</w:t>
      </w:r>
      <w:r>
        <w:rPr>
          <w:rFonts w:hint="default"/>
          <w:lang w:val="en-US" w:eastAsia="zh-CN"/>
        </w:rPr>
        <w:t>情况调度表</w:t>
      </w:r>
    </w:p>
    <w:tbl>
      <w:tblPr>
        <w:tblStyle w:val="20"/>
        <w:tblW w:w="14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7"/>
        <w:gridCol w:w="2410"/>
        <w:gridCol w:w="831"/>
        <w:gridCol w:w="1669"/>
        <w:gridCol w:w="1188"/>
        <w:gridCol w:w="1308"/>
        <w:gridCol w:w="1789"/>
        <w:gridCol w:w="1428"/>
        <w:gridCol w:w="1098"/>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blHeader/>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topLinePunct w:val="0"/>
              <w:bidi w:val="0"/>
              <w:spacing w:before="0" w:beforeAutospacing="0" w:after="0" w:afterAutospacing="0" w:line="260" w:lineRule="exact"/>
              <w:ind w:left="0" w:leftChars="0" w:right="0" w:rightChars="0" w:firstLine="0" w:firstLineChars="0"/>
              <w:jc w:val="center"/>
              <w:rPr>
                <w:rFonts w:hint="eastAsia" w:ascii="黑体" w:hAnsi="黑体" w:eastAsia="黑体" w:cs="黑体"/>
                <w:spacing w:val="0"/>
                <w:sz w:val="24"/>
                <w:szCs w:val="24"/>
              </w:rPr>
            </w:pPr>
            <w:r>
              <w:rPr>
                <w:rFonts w:hint="eastAsia" w:ascii="黑体" w:hAnsi="黑体" w:eastAsia="黑体" w:cs="黑体"/>
                <w:snapToGrid w:val="0"/>
                <w:color w:val="000000"/>
                <w:spacing w:val="0"/>
                <w:kern w:val="0"/>
                <w:sz w:val="24"/>
                <w:szCs w:val="24"/>
                <w:vertAlign w:val="baseline"/>
                <w:lang w:val="en-US" w:eastAsia="zh-CN" w:bidi="ar"/>
              </w:rPr>
              <w:t>序号</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sz w:val="24"/>
                <w:szCs w:val="24"/>
              </w:rPr>
            </w:pPr>
            <w:r>
              <w:rPr>
                <w:rFonts w:hint="eastAsia" w:ascii="黑体" w:hAnsi="黑体" w:eastAsia="黑体" w:cs="黑体"/>
                <w:snapToGrid w:val="0"/>
                <w:color w:val="000000"/>
                <w:spacing w:val="0"/>
                <w:kern w:val="0"/>
                <w:sz w:val="24"/>
                <w:szCs w:val="24"/>
                <w:vertAlign w:val="baseline"/>
                <w:lang w:val="en-US" w:eastAsia="zh-CN" w:bidi="ar"/>
              </w:rPr>
              <w:t>科室（单位）</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监管企业总数（家）</w:t>
            </w: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企业主要负责人未按要求亲自研究排查整治工作（家）</w:t>
            </w: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企业主要负责人未带队检查（家）</w:t>
            </w: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企业未制定分管负责人职责清单（家）</w:t>
            </w: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企业未依法建立安全管理机构和配足安全管理人员（家）</w:t>
            </w: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电焊等特种作业高危人员无证上岗作业（家）</w:t>
            </w: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外包外租安全管理混乱（家）</w:t>
            </w: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黑体" w:hAnsi="黑体" w:eastAsia="黑体" w:cs="黑体"/>
                <w:spacing w:val="0"/>
                <w:kern w:val="0"/>
                <w:sz w:val="24"/>
                <w:szCs w:val="24"/>
                <w:vertAlign w:val="baseline"/>
              </w:rPr>
            </w:pPr>
            <w:r>
              <w:rPr>
                <w:rFonts w:hint="eastAsia" w:ascii="黑体" w:hAnsi="黑体" w:eastAsia="黑体" w:cs="黑体"/>
                <w:snapToGrid w:val="0"/>
                <w:color w:val="000000"/>
                <w:spacing w:val="0"/>
                <w:kern w:val="0"/>
                <w:sz w:val="24"/>
                <w:szCs w:val="24"/>
                <w:vertAlign w:val="baseline"/>
                <w:lang w:val="en-US" w:eastAsia="zh-CN" w:bidi="ar"/>
              </w:rPr>
              <w:t>未按规定开展应急演练、员工不熟悉逃生出口（家）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1</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lang w:val="en-US" w:eastAsia="zh-CN"/>
              </w:rPr>
            </w:pPr>
            <w:r>
              <w:rPr>
                <w:rFonts w:hint="eastAsia" w:ascii="仿宋" w:hAnsi="仿宋" w:eastAsia="仿宋" w:cs="仿宋"/>
                <w:spacing w:val="0"/>
                <w:kern w:val="0"/>
                <w:sz w:val="24"/>
                <w:szCs w:val="24"/>
                <w:vertAlign w:val="baseline"/>
                <w:lang w:val="en-US" w:eastAsia="zh-CN"/>
              </w:rPr>
              <w:t>海勃湾区农牧水务局</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pacing w:val="0"/>
                <w:kern w:val="0"/>
                <w:sz w:val="24"/>
                <w:szCs w:val="24"/>
                <w:vertAlign w:val="baseline"/>
                <w:lang w:val="en-US" w:eastAsia="zh-CN"/>
              </w:rPr>
              <w:t>2</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lang w:val="en-US" w:eastAsia="zh-CN"/>
              </w:rPr>
            </w:pPr>
            <w:r>
              <w:rPr>
                <w:rFonts w:hint="eastAsia" w:ascii="仿宋" w:hAnsi="仿宋" w:eastAsia="仿宋" w:cs="仿宋"/>
                <w:spacing w:val="0"/>
                <w:kern w:val="0"/>
                <w:sz w:val="24"/>
                <w:szCs w:val="24"/>
                <w:vertAlign w:val="baseline"/>
                <w:lang w:val="en-US" w:eastAsia="zh-CN"/>
              </w:rPr>
              <w:t>乌达区农牧水务局</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pacing w:val="0"/>
                <w:kern w:val="0"/>
                <w:sz w:val="24"/>
                <w:szCs w:val="24"/>
                <w:vertAlign w:val="baseline"/>
                <w:lang w:val="en-US" w:eastAsia="zh-CN"/>
              </w:rPr>
              <w:t>3</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lang w:val="en-US" w:eastAsia="zh-CN"/>
              </w:rPr>
            </w:pPr>
            <w:r>
              <w:rPr>
                <w:rFonts w:hint="eastAsia" w:ascii="仿宋" w:hAnsi="仿宋" w:eastAsia="仿宋" w:cs="仿宋"/>
                <w:spacing w:val="0"/>
                <w:kern w:val="0"/>
                <w:sz w:val="24"/>
                <w:szCs w:val="24"/>
                <w:vertAlign w:val="baseline"/>
                <w:lang w:val="en-US" w:eastAsia="zh-CN"/>
              </w:rPr>
              <w:t>海南区农牧水务局</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pacing w:val="0"/>
                <w:kern w:val="0"/>
                <w:sz w:val="24"/>
                <w:szCs w:val="24"/>
                <w:vertAlign w:val="baseline"/>
                <w:lang w:val="en-US" w:eastAsia="zh-CN"/>
              </w:rPr>
              <w:t>4</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lang w:val="en-US" w:eastAsia="zh-CN"/>
              </w:rPr>
            </w:pPr>
            <w:r>
              <w:rPr>
                <w:rFonts w:hint="eastAsia" w:ascii="仿宋" w:hAnsi="仿宋" w:eastAsia="仿宋" w:cs="仿宋"/>
                <w:spacing w:val="0"/>
                <w:kern w:val="0"/>
                <w:sz w:val="24"/>
                <w:szCs w:val="24"/>
                <w:vertAlign w:val="baseline"/>
                <w:lang w:eastAsia="zh-CN"/>
              </w:rPr>
              <w:t>办公室</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pacing w:val="0"/>
                <w:kern w:val="0"/>
                <w:sz w:val="24"/>
                <w:szCs w:val="24"/>
                <w:vertAlign w:val="baseline"/>
                <w:lang w:val="en-US" w:eastAsia="zh-CN"/>
              </w:rPr>
              <w:t>5</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lang w:val="en-US" w:eastAsia="zh-CN"/>
              </w:rPr>
            </w:pPr>
            <w:r>
              <w:rPr>
                <w:rFonts w:hint="eastAsia" w:ascii="仿宋" w:hAnsi="仿宋" w:eastAsia="仿宋" w:cs="仿宋"/>
                <w:spacing w:val="0"/>
                <w:kern w:val="0"/>
                <w:sz w:val="24"/>
                <w:szCs w:val="24"/>
                <w:vertAlign w:val="baseline"/>
                <w:lang w:eastAsia="zh-CN"/>
              </w:rPr>
              <w:t>水政和水资源管理科</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pacing w:val="0"/>
                <w:kern w:val="0"/>
                <w:sz w:val="24"/>
                <w:szCs w:val="24"/>
                <w:vertAlign w:val="baseline"/>
                <w:lang w:val="en-US" w:eastAsia="zh-CN"/>
              </w:rPr>
              <w:t>6</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lang w:val="en-US" w:eastAsia="zh-CN"/>
              </w:rPr>
            </w:pPr>
            <w:r>
              <w:rPr>
                <w:rFonts w:hint="eastAsia" w:ascii="仿宋" w:hAnsi="仿宋" w:eastAsia="仿宋" w:cs="仿宋"/>
                <w:spacing w:val="-12"/>
                <w:kern w:val="0"/>
                <w:sz w:val="24"/>
                <w:szCs w:val="24"/>
                <w:vertAlign w:val="baseline"/>
                <w:lang w:val="en-US" w:eastAsia="zh-CN"/>
              </w:rPr>
              <w:t>河湖和运行监督管理科</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7</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计划财务科</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8</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水旱灾害防御科</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9</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水利和水保科</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10</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14"/>
                <w:kern w:val="0"/>
                <w:sz w:val="24"/>
                <w:szCs w:val="24"/>
                <w:vertAlign w:val="baseline"/>
                <w:lang w:val="en-US" w:eastAsia="zh-CN"/>
              </w:rPr>
              <w:t>水政综合行政执法支队</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11</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水土保持工作站</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5"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12</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河湖与水旱灾害防御中心</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13</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水资源服务中心</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r>
              <w:rPr>
                <w:rFonts w:hint="eastAsia" w:ascii="仿宋" w:hAnsi="仿宋" w:eastAsia="仿宋" w:cs="仿宋"/>
                <w:snapToGrid w:val="0"/>
                <w:color w:val="000000"/>
                <w:spacing w:val="0"/>
                <w:kern w:val="0"/>
                <w:sz w:val="24"/>
                <w:szCs w:val="24"/>
                <w:vertAlign w:val="baseline"/>
                <w:lang w:val="en-US" w:eastAsia="zh-CN" w:bidi="ar"/>
              </w:rPr>
              <w:t>14</w:t>
            </w:r>
          </w:p>
        </w:tc>
        <w:tc>
          <w:tcPr>
            <w:tcW w:w="24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水利发展和工程质量监督服务中心</w:t>
            </w:r>
          </w:p>
        </w:tc>
        <w:tc>
          <w:tcPr>
            <w:tcW w:w="83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18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3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7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42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0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c>
          <w:tcPr>
            <w:tcW w:w="16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val="0"/>
              <w:wordWrap w:val="0"/>
              <w:topLinePunct w:val="0"/>
              <w:autoSpaceDE w:val="0"/>
              <w:autoSpaceDN w:val="0"/>
              <w:bidi w:val="0"/>
              <w:adjustRightInd w:val="0"/>
              <w:snapToGrid w:val="0"/>
              <w:spacing w:before="0" w:beforeAutospacing="0" w:after="0" w:afterAutospacing="0" w:line="260" w:lineRule="exact"/>
              <w:ind w:left="0" w:leftChars="0" w:right="0" w:rightChars="0" w:firstLine="0" w:firstLineChars="0"/>
              <w:jc w:val="center"/>
              <w:textAlignment w:val="baseline"/>
              <w:rPr>
                <w:rFonts w:hint="eastAsia" w:ascii="仿宋" w:hAnsi="仿宋" w:eastAsia="仿宋" w:cs="仿宋"/>
                <w:spacing w:val="0"/>
                <w:kern w:val="0"/>
                <w:sz w:val="24"/>
                <w:szCs w:val="24"/>
                <w:vertAlign w:val="baseline"/>
              </w:rPr>
            </w:pPr>
          </w:p>
        </w:tc>
      </w:tr>
    </w:tbl>
    <w:p>
      <w:pPr>
        <w:rPr>
          <w:rFonts w:hint="default"/>
          <w:lang w:val="en-US" w:eastAsia="zh-CN"/>
        </w:rPr>
        <w:sectPr>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0" w:num="1"/>
          <w:rtlGutter w:val="0"/>
          <w:docGrid w:type="lines" w:linePitch="465" w:charSpace="0"/>
        </w:sectPr>
      </w:pPr>
    </w:p>
    <w:p>
      <w:pPr>
        <w:pStyle w:val="5"/>
        <w:bidi w:val="0"/>
        <w:ind w:left="0" w:leftChars="0" w:firstLine="0" w:firstLineChars="0"/>
        <w:rPr>
          <w:rFonts w:hint="eastAsia"/>
          <w:lang w:val="en-US" w:eastAsia="zh-CN"/>
        </w:rPr>
      </w:pPr>
      <w:r>
        <w:rPr>
          <w:rFonts w:hint="eastAsia"/>
          <w:lang w:val="en-US" w:eastAsia="zh-CN"/>
        </w:rPr>
        <w:t>附件4</w:t>
      </w:r>
    </w:p>
    <w:p>
      <w:pPr>
        <w:pStyle w:val="7"/>
        <w:bidi w:val="0"/>
        <w:rPr>
          <w:rFonts w:hint="eastAsia"/>
          <w:lang w:val="en-US" w:eastAsia="zh-CN"/>
        </w:rPr>
      </w:pPr>
      <w:r>
        <w:rPr>
          <w:rFonts w:hint="default"/>
          <w:lang w:val="en-US" w:eastAsia="zh-CN"/>
        </w:rPr>
        <w:t>重大事故隐患专项排查整治行动执法情况</w:t>
      </w:r>
      <w:r>
        <w:rPr>
          <w:rFonts w:hint="eastAsia"/>
          <w:lang w:val="en-US" w:eastAsia="zh-CN"/>
        </w:rPr>
        <w:t>调度表</w:t>
      </w:r>
    </w:p>
    <w:tbl>
      <w:tblPr>
        <w:tblStyle w:val="20"/>
        <w:tblW w:w="13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2416"/>
        <w:gridCol w:w="1080"/>
        <w:gridCol w:w="1080"/>
        <w:gridCol w:w="825"/>
        <w:gridCol w:w="1185"/>
        <w:gridCol w:w="857"/>
        <w:gridCol w:w="840"/>
        <w:gridCol w:w="1108"/>
        <w:gridCol w:w="990"/>
        <w:gridCol w:w="1005"/>
        <w:gridCol w:w="975"/>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0" w:hRule="atLeast"/>
          <w:tblHeader/>
          <w:jc w:val="center"/>
        </w:trPr>
        <w:tc>
          <w:tcPr>
            <w:tcW w:w="5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416"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科室（单位）</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帮扶指导重点地区（企业）（个次）</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帮扶指导重点企业（家次）</w:t>
            </w: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行政处罚（次、万元）</w:t>
            </w: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企业和企业主要负责人“一案双罚”（次）</w:t>
            </w: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移送司法机关（人）</w:t>
            </w: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责令停产整顿（家）</w:t>
            </w: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曝光、约谈、联合惩戒企业（家）</w:t>
            </w: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公布典型执法案例（个）</w:t>
            </w: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其中危险作业罪案例（个）</w:t>
            </w: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责任倒查追责问责（人）</w:t>
            </w: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约谈通报有关地区及企业（次）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1</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海勃湾区农牧水务局</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2</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乌达区农牧水务局</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3</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海南区农牧水务局</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4</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eastAsia="zh-CN"/>
              </w:rPr>
              <w:t>办公室</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5</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eastAsia="zh-CN"/>
              </w:rPr>
              <w:t>水政和水资源管理科</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6</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14"/>
                <w:kern w:val="0"/>
                <w:sz w:val="24"/>
                <w:szCs w:val="24"/>
                <w:vertAlign w:val="baseline"/>
                <w:lang w:val="en-US" w:eastAsia="zh-CN"/>
              </w:rPr>
              <w:t>河湖和运行监督管理科</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7</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计划财务科</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8</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水旱灾害防御科</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9</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水利和水保科</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10</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10"/>
                <w:kern w:val="0"/>
                <w:sz w:val="24"/>
                <w:szCs w:val="24"/>
                <w:vertAlign w:val="baseline"/>
                <w:lang w:val="en-US" w:eastAsia="zh-CN"/>
              </w:rPr>
              <w:t>水政综合行政执法支队</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11</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水土保持工作站</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12</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20"/>
                <w:kern w:val="0"/>
                <w:sz w:val="24"/>
                <w:szCs w:val="24"/>
                <w:vertAlign w:val="baseline"/>
                <w:lang w:val="en-US" w:eastAsia="zh-CN"/>
              </w:rPr>
              <w:t>河湖与水旱灾害防御中心</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13</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水资源服务中心</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jc w:val="center"/>
        </w:trPr>
        <w:tc>
          <w:tcPr>
            <w:tcW w:w="525"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napToGrid w:val="0"/>
                <w:color w:val="000000"/>
                <w:spacing w:val="0"/>
                <w:kern w:val="0"/>
                <w:sz w:val="24"/>
                <w:szCs w:val="24"/>
                <w:vertAlign w:val="baseline"/>
                <w:lang w:val="en-US" w:eastAsia="zh-CN" w:bidi="ar"/>
              </w:rPr>
              <w:t>14</w:t>
            </w:r>
          </w:p>
        </w:tc>
        <w:tc>
          <w:tcPr>
            <w:tcW w:w="2416" w:type="dxa"/>
            <w:vAlign w:val="center"/>
          </w:tcPr>
          <w:p>
            <w:pPr>
              <w:keepNext w:val="0"/>
              <w:keepLines w:val="0"/>
              <w:pageBreakBefore w:val="0"/>
              <w:widowControl w:val="0"/>
              <w:suppressLineNumbers w:val="0"/>
              <w:kinsoku w:val="0"/>
              <w:wordWrap w:val="0"/>
              <w:overflowPunct w:val="0"/>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4"/>
                <w:szCs w:val="24"/>
                <w:vertAlign w:val="baseline"/>
                <w:lang w:val="en-US" w:eastAsia="zh-CN" w:bidi="ar-SA"/>
              </w:rPr>
            </w:pPr>
            <w:r>
              <w:rPr>
                <w:rFonts w:hint="eastAsia" w:ascii="仿宋" w:hAnsi="仿宋" w:eastAsia="仿宋" w:cs="仿宋"/>
                <w:spacing w:val="0"/>
                <w:kern w:val="0"/>
                <w:sz w:val="24"/>
                <w:szCs w:val="24"/>
                <w:vertAlign w:val="baseline"/>
                <w:lang w:val="en-US" w:eastAsia="zh-CN"/>
              </w:rPr>
              <w:t>水利发展和工程质量监督服务中心</w:t>
            </w: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8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2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8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57"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84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108"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0"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100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75"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c>
          <w:tcPr>
            <w:tcW w:w="993" w:type="dxa"/>
            <w:vAlign w:val="center"/>
          </w:tcPr>
          <w:p>
            <w:pPr>
              <w:keepNext w:val="0"/>
              <w:keepLines w:val="0"/>
              <w:pageBreakBefore w:val="0"/>
              <w:widowControl w:val="0"/>
              <w:suppressLineNumbers w:val="0"/>
              <w:overflowPunct w:val="0"/>
              <w:topLinePunct w:val="0"/>
              <w:bidi w:val="0"/>
              <w:adjustRightInd w:val="0"/>
              <w:snapToGrid w:val="0"/>
              <w:spacing w:before="0" w:beforeAutospacing="0" w:after="0" w:afterAutospacing="0" w:line="240" w:lineRule="exact"/>
              <w:ind w:left="0" w:leftChars="0" w:right="0" w:rightChars="0" w:firstLine="0" w:firstLineChars="0"/>
              <w:jc w:val="center"/>
              <w:rPr>
                <w:rFonts w:hint="default"/>
                <w:sz w:val="24"/>
                <w:szCs w:val="24"/>
                <w:lang w:val="en-US" w:eastAsia="zh-CN"/>
              </w:rPr>
            </w:pPr>
          </w:p>
        </w:tc>
      </w:tr>
    </w:tbl>
    <w:p>
      <w:pPr>
        <w:keepNext w:val="0"/>
        <w:keepLines w:val="0"/>
        <w:pageBreakBefore w:val="0"/>
        <w:widowControl w:val="0"/>
        <w:kinsoku/>
        <w:wordWrap/>
        <w:overflowPunct w:val="0"/>
        <w:topLinePunct w:val="0"/>
        <w:autoSpaceDE/>
        <w:autoSpaceDN/>
        <w:bidi w:val="0"/>
        <w:adjustRightInd w:val="0"/>
        <w:snapToGrid w:val="0"/>
        <w:spacing w:line="20" w:lineRule="exact"/>
        <w:textAlignment w:val="auto"/>
        <w:rPr>
          <w:rFonts w:hint="default"/>
          <w:lang w:val="en-US" w:eastAsia="zh-CN"/>
        </w:rPr>
      </w:pPr>
    </w:p>
    <w:sectPr>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0" w:num="1"/>
      <w:rtlGutter w:val="0"/>
      <w:docGrid w:type="lines" w:linePitch="46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auto"/>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LqMOCs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15"/>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10</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H+OrRE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15"/>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10</w:t>
                    </w:r>
                    <w:r>
                      <w:fldChar w:fldCharType="end"/>
                    </w:r>
                    <w:r>
                      <w:rPr>
                        <w:rFonts w:hint="eastAsia"/>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777EA"/>
    <w:multiLevelType w:val="singleLevel"/>
    <w:tmpl w:val="F2D777EA"/>
    <w:lvl w:ilvl="0" w:tentative="0">
      <w:start w:val="1"/>
      <w:numFmt w:val="decimal"/>
      <w:suff w:val="nothing"/>
      <w:lvlText w:val="（%1）"/>
      <w:lvlJc w:val="left"/>
    </w:lvl>
  </w:abstractNum>
  <w:abstractNum w:abstractNumId="1">
    <w:nsid w:val="FFBE83A4"/>
    <w:multiLevelType w:val="multilevel"/>
    <w:tmpl w:val="FFBE83A4"/>
    <w:lvl w:ilvl="0" w:tentative="0">
      <w:start w:val="1"/>
      <w:numFmt w:val="decimal"/>
      <w:lvlText w:val="%1"/>
      <w:lvlJc w:val="left"/>
      <w:pPr>
        <w:ind w:left="432" w:hanging="432"/>
      </w:pPr>
    </w:lvl>
    <w:lvl w:ilvl="1" w:tentative="0">
      <w:start w:val="1"/>
      <w:numFmt w:val="decimal"/>
      <w:lvlText w:val="%1.%2"/>
      <w:lvlJc w:val="left"/>
      <w:pPr>
        <w:ind w:left="576" w:hanging="576"/>
      </w:pPr>
      <w:rPr>
        <w:rFonts w:hint="default" w:ascii="Times New Roman" w:hAnsi="Times New Roman" w:cs="Times New Roman"/>
      </w:r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pStyle w:val="9"/>
      <w:lvlText w:val="%1.%2.%3.%4.%5"/>
      <w:lvlJc w:val="left"/>
      <w:pPr>
        <w:ind w:left="1008" w:hanging="1008"/>
      </w:pPr>
    </w:lvl>
    <w:lvl w:ilvl="5" w:tentative="0">
      <w:start w:val="1"/>
      <w:numFmt w:val="decimal"/>
      <w:pStyle w:val="10"/>
      <w:lvlText w:val="%1.%2.%3.%4.%5.%6"/>
      <w:lvlJc w:val="left"/>
      <w:pPr>
        <w:ind w:left="1152" w:hanging="1152"/>
      </w:pPr>
    </w:lvl>
    <w:lvl w:ilvl="6" w:tentative="0">
      <w:start w:val="1"/>
      <w:numFmt w:val="decimal"/>
      <w:pStyle w:val="11"/>
      <w:lvlText w:val="%1.%2.%3.%4.%5.%6.%7"/>
      <w:lvlJc w:val="left"/>
      <w:pPr>
        <w:ind w:left="1296" w:hanging="1296"/>
      </w:pPr>
    </w:lvl>
    <w:lvl w:ilvl="7" w:tentative="0">
      <w:start w:val="1"/>
      <w:numFmt w:val="decimal"/>
      <w:pStyle w:val="12"/>
      <w:lvlText w:val="%1.%2.%3.%4.%5.%6.%7.%8"/>
      <w:lvlJc w:val="left"/>
      <w:pPr>
        <w:ind w:left="1440" w:hanging="1440"/>
      </w:pPr>
    </w:lvl>
    <w:lvl w:ilvl="8" w:tentative="0">
      <w:start w:val="1"/>
      <w:numFmt w:val="decimal"/>
      <w:pStyle w:val="13"/>
      <w:lvlText w:val="%1.%2.%3.%4.%5.%6.%7.%8.%9"/>
      <w:lvlJc w:val="left"/>
      <w:pPr>
        <w:ind w:left="1584" w:hanging="1584"/>
      </w:pPr>
    </w:lvl>
  </w:abstractNum>
  <w:abstractNum w:abstractNumId="2">
    <w:nsid w:val="0D0B0676"/>
    <w:multiLevelType w:val="multilevel"/>
    <w:tmpl w:val="0D0B067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E25440B"/>
    <w:multiLevelType w:val="multilevel"/>
    <w:tmpl w:val="0E25440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85707EC"/>
    <w:multiLevelType w:val="multilevel"/>
    <w:tmpl w:val="185707EC"/>
    <w:lvl w:ilvl="0" w:tentative="0">
      <w:start w:val="1"/>
      <w:numFmt w:val="decimal"/>
      <w:suff w:val="noth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C4331B"/>
    <w:multiLevelType w:val="multilevel"/>
    <w:tmpl w:val="1CC4331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3D675BD"/>
    <w:multiLevelType w:val="multilevel"/>
    <w:tmpl w:val="23D675B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5697701"/>
    <w:multiLevelType w:val="multilevel"/>
    <w:tmpl w:val="256977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24E5B99"/>
    <w:multiLevelType w:val="multilevel"/>
    <w:tmpl w:val="724E5B9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7"/>
  </w:num>
  <w:num w:numId="3">
    <w:abstractNumId w:val="2"/>
  </w:num>
  <w:num w:numId="4">
    <w:abstractNumId w:val="3"/>
  </w:num>
  <w:num w:numId="5">
    <w:abstractNumId w:val="6"/>
  </w:num>
  <w:num w:numId="6">
    <w:abstractNumId w:val="8"/>
  </w:num>
  <w:num w:numId="7">
    <w:abstractNumId w:val="5"/>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HorizontalSpacing w:val="320"/>
  <w:drawingGridVerticalSpacing w:val="23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FDA457"/>
    <w:rsid w:val="0FDFCA72"/>
    <w:rsid w:val="17F37C8E"/>
    <w:rsid w:val="1CBFFE4E"/>
    <w:rsid w:val="1EFE0D55"/>
    <w:rsid w:val="2B65DB85"/>
    <w:rsid w:val="2BFF3F3D"/>
    <w:rsid w:val="35FD0088"/>
    <w:rsid w:val="367C5BF1"/>
    <w:rsid w:val="377FC91E"/>
    <w:rsid w:val="3AF58676"/>
    <w:rsid w:val="3B99CD23"/>
    <w:rsid w:val="3B9B6834"/>
    <w:rsid w:val="3BFF8AD8"/>
    <w:rsid w:val="3DF691CA"/>
    <w:rsid w:val="3EFDB540"/>
    <w:rsid w:val="3F6E026F"/>
    <w:rsid w:val="3FBFA9DA"/>
    <w:rsid w:val="3FDF73C4"/>
    <w:rsid w:val="3FDF8F96"/>
    <w:rsid w:val="3FEB7EA0"/>
    <w:rsid w:val="3FFFD722"/>
    <w:rsid w:val="4D7E0E4C"/>
    <w:rsid w:val="4E7134DB"/>
    <w:rsid w:val="4F9F72B8"/>
    <w:rsid w:val="55D799B8"/>
    <w:rsid w:val="5832511A"/>
    <w:rsid w:val="5BE9E024"/>
    <w:rsid w:val="5C730B4E"/>
    <w:rsid w:val="5DDF3272"/>
    <w:rsid w:val="5DFB1554"/>
    <w:rsid w:val="5F1B9859"/>
    <w:rsid w:val="5F762990"/>
    <w:rsid w:val="5F7B03A2"/>
    <w:rsid w:val="5FBF2B91"/>
    <w:rsid w:val="5FFB9779"/>
    <w:rsid w:val="5FFD75E3"/>
    <w:rsid w:val="63E6E71E"/>
    <w:rsid w:val="65D95F5C"/>
    <w:rsid w:val="67F7EC51"/>
    <w:rsid w:val="69EAD7A5"/>
    <w:rsid w:val="69FD13A3"/>
    <w:rsid w:val="6B592351"/>
    <w:rsid w:val="6BB6014F"/>
    <w:rsid w:val="6BF3E153"/>
    <w:rsid w:val="6E9BB060"/>
    <w:rsid w:val="6EB783CB"/>
    <w:rsid w:val="6EF31650"/>
    <w:rsid w:val="6FE53D35"/>
    <w:rsid w:val="712DBF28"/>
    <w:rsid w:val="73E58130"/>
    <w:rsid w:val="76FDDDB3"/>
    <w:rsid w:val="776EFA5D"/>
    <w:rsid w:val="77EB1D32"/>
    <w:rsid w:val="78FA41CD"/>
    <w:rsid w:val="7B7AE104"/>
    <w:rsid w:val="7B7FF4B4"/>
    <w:rsid w:val="7BA7411F"/>
    <w:rsid w:val="7BB4001D"/>
    <w:rsid w:val="7BEBBF80"/>
    <w:rsid w:val="7C7DD0FA"/>
    <w:rsid w:val="7D09F666"/>
    <w:rsid w:val="7D67A437"/>
    <w:rsid w:val="7D6FE098"/>
    <w:rsid w:val="7D7A6C6A"/>
    <w:rsid w:val="7D7C7E46"/>
    <w:rsid w:val="7DBF102F"/>
    <w:rsid w:val="7DD75A07"/>
    <w:rsid w:val="7DFB8897"/>
    <w:rsid w:val="7E07A46D"/>
    <w:rsid w:val="7E77EDBA"/>
    <w:rsid w:val="7EDFE902"/>
    <w:rsid w:val="7EEF6C10"/>
    <w:rsid w:val="7EF1241A"/>
    <w:rsid w:val="7F1FBCAE"/>
    <w:rsid w:val="7F5B0379"/>
    <w:rsid w:val="7FA94824"/>
    <w:rsid w:val="7FBFD26A"/>
    <w:rsid w:val="7FBFDA7E"/>
    <w:rsid w:val="7FDF31A6"/>
    <w:rsid w:val="7FE52126"/>
    <w:rsid w:val="7FEFEBAC"/>
    <w:rsid w:val="7FF26E2F"/>
    <w:rsid w:val="7FF624F0"/>
    <w:rsid w:val="7FF9762A"/>
    <w:rsid w:val="7FFD71BC"/>
    <w:rsid w:val="7FFF8333"/>
    <w:rsid w:val="7FFFA4FA"/>
    <w:rsid w:val="87CCF635"/>
    <w:rsid w:val="93CF5E1B"/>
    <w:rsid w:val="971F45D1"/>
    <w:rsid w:val="971FE6E4"/>
    <w:rsid w:val="97FC0F4A"/>
    <w:rsid w:val="99FF8C5D"/>
    <w:rsid w:val="9D9605D7"/>
    <w:rsid w:val="9DE55DDD"/>
    <w:rsid w:val="AAF581E8"/>
    <w:rsid w:val="ADE6D8E0"/>
    <w:rsid w:val="ADFEE455"/>
    <w:rsid w:val="AE3F89B2"/>
    <w:rsid w:val="AE79B365"/>
    <w:rsid w:val="AF76EE4C"/>
    <w:rsid w:val="AFDE17BF"/>
    <w:rsid w:val="B5BDA413"/>
    <w:rsid w:val="B6FB114C"/>
    <w:rsid w:val="B77FA623"/>
    <w:rsid w:val="B7FF71A8"/>
    <w:rsid w:val="BBDF1652"/>
    <w:rsid w:val="BD6E2D22"/>
    <w:rsid w:val="BF26B20A"/>
    <w:rsid w:val="BF4F7E5F"/>
    <w:rsid w:val="BF7F958F"/>
    <w:rsid w:val="BFFE453D"/>
    <w:rsid w:val="BFFECEEC"/>
    <w:rsid w:val="C0FCA0DF"/>
    <w:rsid w:val="CBFF307F"/>
    <w:rsid w:val="CEDB943A"/>
    <w:rsid w:val="CFFD0AAE"/>
    <w:rsid w:val="D717B8DD"/>
    <w:rsid w:val="D7399B06"/>
    <w:rsid w:val="D7F54CE2"/>
    <w:rsid w:val="DABB8E9A"/>
    <w:rsid w:val="DBDFDB7C"/>
    <w:rsid w:val="DE3FE864"/>
    <w:rsid w:val="DEF3F786"/>
    <w:rsid w:val="DF7D225C"/>
    <w:rsid w:val="DF7F1C37"/>
    <w:rsid w:val="DF9FDA64"/>
    <w:rsid w:val="DFFBF7B0"/>
    <w:rsid w:val="E53EC050"/>
    <w:rsid w:val="E76758B6"/>
    <w:rsid w:val="E77D7275"/>
    <w:rsid w:val="EAFAF5E6"/>
    <w:rsid w:val="EDFB4879"/>
    <w:rsid w:val="EFF94D5D"/>
    <w:rsid w:val="EFFB56D6"/>
    <w:rsid w:val="F0FF5D79"/>
    <w:rsid w:val="F5BF01BA"/>
    <w:rsid w:val="F6FF6869"/>
    <w:rsid w:val="F77F64C5"/>
    <w:rsid w:val="F7F6EDC5"/>
    <w:rsid w:val="F96BC3EC"/>
    <w:rsid w:val="FA5A5B7D"/>
    <w:rsid w:val="FAF84F3B"/>
    <w:rsid w:val="FB797EEF"/>
    <w:rsid w:val="FBF771C5"/>
    <w:rsid w:val="FBFF4AF1"/>
    <w:rsid w:val="FCFE350E"/>
    <w:rsid w:val="FD6B4B03"/>
    <w:rsid w:val="FD7539E4"/>
    <w:rsid w:val="FD773532"/>
    <w:rsid w:val="FDAFD09F"/>
    <w:rsid w:val="FDDB1E45"/>
    <w:rsid w:val="FDDCAD55"/>
    <w:rsid w:val="FDDE781C"/>
    <w:rsid w:val="FDF51929"/>
    <w:rsid w:val="FDFB1151"/>
    <w:rsid w:val="FE7DE1D8"/>
    <w:rsid w:val="FE7F5853"/>
    <w:rsid w:val="FEA7C1B5"/>
    <w:rsid w:val="FEC3FFDE"/>
    <w:rsid w:val="FEDF7F08"/>
    <w:rsid w:val="FEE7DEFE"/>
    <w:rsid w:val="FF7722D3"/>
    <w:rsid w:val="FF772321"/>
    <w:rsid w:val="FFE727C6"/>
    <w:rsid w:val="FFEA5B33"/>
    <w:rsid w:val="FFEFCE33"/>
    <w:rsid w:val="FFF6AACF"/>
    <w:rsid w:val="FFFA91D4"/>
    <w:rsid w:val="FFFDDB7C"/>
    <w:rsid w:val="FFFF3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3"/>
    <w:qFormat/>
    <w:uiPriority w:val="0"/>
    <w:pPr>
      <w:widowControl w:val="0"/>
      <w:kinsoku/>
      <w:overflowPunct w:val="0"/>
      <w:autoSpaceDE/>
      <w:autoSpaceDN/>
      <w:adjustRightInd w:val="0"/>
      <w:snapToGrid w:val="0"/>
      <w:spacing w:line="578" w:lineRule="exact"/>
      <w:ind w:firstLine="880" w:firstLineChars="200"/>
      <w:jc w:val="both"/>
      <w:textAlignment w:val="auto"/>
    </w:pPr>
    <w:rPr>
      <w:rFonts w:ascii="Times New Roman" w:hAnsi="Times New Roman" w:eastAsia="仿宋" w:cs="Arial"/>
      <w:snapToGrid w:val="0"/>
      <w:color w:val="000000"/>
      <w:kern w:val="0"/>
      <w:sz w:val="32"/>
      <w:szCs w:val="21"/>
      <w:lang w:val="en-US" w:eastAsia="zh-CN" w:bidi="ar-SA"/>
    </w:rPr>
  </w:style>
  <w:style w:type="paragraph" w:styleId="5">
    <w:name w:val="heading 1"/>
    <w:basedOn w:val="1"/>
    <w:next w:val="1"/>
    <w:link w:val="24"/>
    <w:qFormat/>
    <w:uiPriority w:val="0"/>
    <w:pPr>
      <w:keepNext/>
      <w:keepLines/>
      <w:widowControl w:val="0"/>
      <w:suppressLineNumbers w:val="0"/>
      <w:spacing w:before="0" w:beforeAutospacing="0" w:after="0" w:afterAutospacing="0" w:line="578" w:lineRule="exact"/>
      <w:ind w:left="0" w:firstLine="880" w:firstLineChars="200"/>
      <w:jc w:val="both"/>
      <w:outlineLvl w:val="0"/>
    </w:pPr>
    <w:rPr>
      <w:rFonts w:ascii="Times New Roman" w:hAnsi="Times New Roman" w:eastAsia="黑体" w:cs="Times New Roman"/>
      <w:bCs/>
      <w:kern w:val="44"/>
      <w:szCs w:val="32"/>
      <w:lang w:bidi="ar"/>
    </w:rPr>
  </w:style>
  <w:style w:type="paragraph" w:styleId="6">
    <w:name w:val="heading 2"/>
    <w:basedOn w:val="1"/>
    <w:next w:val="1"/>
    <w:link w:val="28"/>
    <w:unhideWhenUsed/>
    <w:qFormat/>
    <w:uiPriority w:val="0"/>
    <w:pPr>
      <w:keepNext/>
      <w:keepLines w:val="0"/>
      <w:widowControl w:val="0"/>
      <w:suppressLineNumbers w:val="0"/>
      <w:spacing w:before="0" w:beforeLines="0" w:beforeAutospacing="0" w:after="0" w:afterLines="0" w:afterAutospacing="0"/>
      <w:ind w:left="0"/>
      <w:jc w:val="both"/>
      <w:outlineLvl w:val="1"/>
    </w:pPr>
    <w:rPr>
      <w:rFonts w:hint="default" w:ascii="Times New Roman" w:hAnsi="Times New Roman" w:eastAsia="楷体" w:cs="Times New Roman"/>
      <w:szCs w:val="30"/>
      <w:lang w:bidi="ar"/>
    </w:rPr>
  </w:style>
  <w:style w:type="paragraph" w:styleId="7">
    <w:name w:val="heading 3"/>
    <w:basedOn w:val="1"/>
    <w:next w:val="1"/>
    <w:unhideWhenUsed/>
    <w:qFormat/>
    <w:uiPriority w:val="0"/>
    <w:pPr>
      <w:keepNext/>
      <w:keepLines/>
      <w:spacing w:beforeLines="0" w:beforeAutospacing="0" w:afterLines="0" w:afterAutospacing="0" w:line="578" w:lineRule="exact"/>
      <w:ind w:left="0" w:firstLine="0" w:firstLineChars="0"/>
      <w:jc w:val="center"/>
      <w:outlineLvl w:val="2"/>
    </w:pPr>
    <w:rPr>
      <w:rFonts w:ascii="Times New Roman" w:hAnsi="Times New Roman" w:eastAsia="方正小标宋简体"/>
      <w:sz w:val="44"/>
      <w:szCs w:val="44"/>
    </w:rPr>
  </w:style>
  <w:style w:type="paragraph" w:styleId="8">
    <w:name w:val="heading 4"/>
    <w:basedOn w:val="1"/>
    <w:next w:val="1"/>
    <w:semiHidden/>
    <w:unhideWhenUsed/>
    <w:qFormat/>
    <w:uiPriority w:val="0"/>
    <w:pPr>
      <w:keepNext/>
      <w:keepLines/>
      <w:widowControl w:val="0"/>
      <w:suppressLineNumbers w:val="0"/>
      <w:overflowPunct w:val="0"/>
      <w:spacing w:before="0" w:beforeLines="0" w:beforeAutospacing="0" w:after="0" w:afterLines="0" w:afterAutospacing="0" w:line="578" w:lineRule="exact"/>
      <w:ind w:left="0" w:firstLine="0" w:firstLineChars="0"/>
      <w:jc w:val="center"/>
      <w:outlineLvl w:val="3"/>
    </w:pPr>
    <w:rPr>
      <w:rFonts w:ascii="Times New Roman" w:hAnsi="Times New Roman" w:eastAsia="楷体" w:cs="Times New Roman"/>
      <w:szCs w:val="32"/>
      <w:lang w:bidi="ar"/>
    </w:rPr>
  </w:style>
  <w:style w:type="paragraph" w:styleId="9">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10">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2" w:hanging="1152" w:firstLineChars="0"/>
      <w:outlineLvl w:val="5"/>
    </w:pPr>
    <w:rPr>
      <w:rFonts w:ascii="Arial" w:hAnsi="Arial" w:eastAsia="黑体"/>
      <w:b/>
      <w:sz w:val="24"/>
    </w:rPr>
  </w:style>
  <w:style w:type="paragraph" w:styleId="11">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12">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3">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4" w:hanging="1584" w:firstLineChars="0"/>
      <w:outlineLvl w:val="8"/>
    </w:pPr>
    <w:rPr>
      <w:rFonts w:ascii="Arial" w:hAnsi="Arial" w:eastAsia="黑体"/>
      <w:sz w:val="21"/>
    </w:rPr>
  </w:style>
  <w:style w:type="character" w:default="1" w:styleId="21">
    <w:name w:val="Default Paragraph Font"/>
    <w:semiHidden/>
    <w:unhideWhenUsed/>
    <w:qFormat/>
    <w:uiPriority w:val="1"/>
  </w:style>
  <w:style w:type="table" w:default="1" w:styleId="1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itle"/>
    <w:basedOn w:val="1"/>
    <w:next w:val="3"/>
    <w:qFormat/>
    <w:uiPriority w:val="0"/>
    <w:pPr>
      <w:ind w:left="640" w:leftChars="200"/>
      <w:outlineLvl w:val="0"/>
    </w:pPr>
    <w:rPr>
      <w:rFonts w:ascii="Arial" w:hAnsi="Arial" w:eastAsia="仿宋_GB2312"/>
      <w:b/>
      <w:kern w:val="0"/>
      <w:sz w:val="32"/>
    </w:rPr>
  </w:style>
  <w:style w:type="paragraph" w:styleId="3">
    <w:name w:val="Body Text Indent"/>
    <w:basedOn w:val="1"/>
    <w:next w:val="4"/>
    <w:semiHidden/>
    <w:qFormat/>
    <w:uiPriority w:val="0"/>
    <w:pPr>
      <w:tabs>
        <w:tab w:val="left" w:pos="1440"/>
      </w:tabs>
      <w:ind w:firstLine="540"/>
    </w:pPr>
    <w:rPr>
      <w:rFonts w:ascii="仿宋_GB2312" w:hAnsi="Times New Roman" w:eastAsia="仿宋_GB2312" w:cs="Times New Roman"/>
      <w:sz w:val="32"/>
      <w:szCs w:val="20"/>
    </w:rPr>
  </w:style>
  <w:style w:type="paragraph" w:styleId="4">
    <w:name w:val="toc 2"/>
    <w:basedOn w:val="1"/>
    <w:next w:val="1"/>
    <w:unhideWhenUsed/>
    <w:qFormat/>
    <w:uiPriority w:val="39"/>
    <w:pPr>
      <w:ind w:left="420" w:leftChars="200"/>
    </w:pPr>
  </w:style>
  <w:style w:type="paragraph" w:styleId="14">
    <w:name w:val="Body Text"/>
    <w:basedOn w:val="1"/>
    <w:next w:val="1"/>
    <w:qFormat/>
    <w:uiPriority w:val="0"/>
    <w:pPr>
      <w:spacing w:after="120"/>
    </w:pPr>
  </w:style>
  <w:style w:type="paragraph" w:styleId="15">
    <w:name w:val="footer"/>
    <w:basedOn w:val="1"/>
    <w:qFormat/>
    <w:uiPriority w:val="0"/>
    <w:pPr>
      <w:tabs>
        <w:tab w:val="center" w:pos="4153"/>
        <w:tab w:val="right" w:pos="8306"/>
      </w:tabs>
      <w:snapToGrid w:val="0"/>
      <w:ind w:left="0" w:firstLine="0" w:firstLineChars="0"/>
      <w:jc w:val="center"/>
    </w:pPr>
    <w:rPr>
      <w:rFonts w:ascii="宋体" w:hAnsi="宋体" w:eastAsia="宋体"/>
      <w:sz w:val="2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List"/>
    <w:basedOn w:val="1"/>
    <w:qFormat/>
    <w:uiPriority w:val="0"/>
    <w:pPr>
      <w:ind w:left="200" w:hanging="200" w:hangingChars="200"/>
    </w:pPr>
  </w:style>
  <w:style w:type="paragraph" w:styleId="18">
    <w:name w:val="Normal (Web)"/>
    <w:basedOn w:val="1"/>
    <w:qFormat/>
    <w:uiPriority w:val="0"/>
    <w:rPr>
      <w:sz w:val="24"/>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Emphasis"/>
    <w:basedOn w:val="21"/>
    <w:qFormat/>
    <w:uiPriority w:val="20"/>
    <w:rPr>
      <w:i/>
      <w:iCs/>
    </w:rPr>
  </w:style>
  <w:style w:type="character" w:customStyle="1" w:styleId="23">
    <w:name w:val="NormalCharacter"/>
    <w:link w:val="1"/>
    <w:semiHidden/>
    <w:qFormat/>
    <w:uiPriority w:val="0"/>
    <w:rPr>
      <w:rFonts w:ascii="Times New Roman" w:hAnsi="Times New Roman" w:eastAsia="仿宋" w:cs="Times New Roman"/>
      <w:kern w:val="2"/>
      <w:sz w:val="32"/>
      <w:szCs w:val="24"/>
      <w:lang w:val="en-US" w:eastAsia="zh-CN" w:bidi="ar-SA"/>
    </w:rPr>
  </w:style>
  <w:style w:type="character" w:customStyle="1" w:styleId="24">
    <w:name w:val="标题 1 字符"/>
    <w:basedOn w:val="21"/>
    <w:link w:val="5"/>
    <w:qFormat/>
    <w:uiPriority w:val="0"/>
    <w:rPr>
      <w:rFonts w:ascii="Times New Roman" w:hAnsi="Times New Roman" w:eastAsia="黑体" w:cs="Times New Roman"/>
      <w:bCs/>
      <w:kern w:val="44"/>
      <w:sz w:val="32"/>
      <w:szCs w:val="44"/>
    </w:rPr>
  </w:style>
  <w:style w:type="paragraph" w:customStyle="1" w:styleId="25">
    <w:name w:val="预案正文"/>
    <w:basedOn w:val="1"/>
    <w:qFormat/>
    <w:uiPriority w:val="0"/>
    <w:pPr>
      <w:spacing w:line="600" w:lineRule="exact"/>
      <w:ind w:firstLine="420" w:firstLineChars="200"/>
    </w:pPr>
    <w:rPr>
      <w:rFonts w:ascii="Times New Roman" w:hAnsi="Times New Roman" w:eastAsia="仿宋"/>
      <w:sz w:val="32"/>
    </w:rPr>
  </w:style>
  <w:style w:type="paragraph" w:customStyle="1" w:styleId="26">
    <w:name w:val="预案标题1"/>
    <w:basedOn w:val="1"/>
    <w:next w:val="25"/>
    <w:qFormat/>
    <w:uiPriority w:val="0"/>
    <w:pPr>
      <w:keepNext/>
      <w:keepLines/>
      <w:overflowPunct w:val="0"/>
      <w:spacing w:line="600" w:lineRule="exact"/>
    </w:pPr>
    <w:rPr>
      <w:rFonts w:ascii="Times New Roman" w:hAnsi="Times New Roman" w:eastAsia="黑体"/>
      <w:b/>
      <w:sz w:val="32"/>
    </w:rPr>
  </w:style>
  <w:style w:type="paragraph" w:customStyle="1" w:styleId="27">
    <w:name w:val="预案标题2"/>
    <w:basedOn w:val="1"/>
    <w:next w:val="25"/>
    <w:qFormat/>
    <w:uiPriority w:val="0"/>
    <w:pPr>
      <w:keepNext/>
      <w:keepLines/>
      <w:overflowPunct w:val="0"/>
      <w:spacing w:line="600" w:lineRule="exact"/>
    </w:pPr>
    <w:rPr>
      <w:rFonts w:ascii="Times New Roman" w:hAnsi="Times New Roman" w:eastAsia="黑体"/>
      <w:sz w:val="32"/>
    </w:rPr>
  </w:style>
  <w:style w:type="character" w:customStyle="1" w:styleId="28">
    <w:name w:val="标题 2 Char"/>
    <w:link w:val="6"/>
    <w:unhideWhenUsed/>
    <w:qFormat/>
    <w:uiPriority w:val="0"/>
    <w:rPr>
      <w:rFonts w:hint="default" w:ascii="Times New Roman" w:hAnsi="Times New Roman" w:eastAsia="楷体" w:cs="Times New Roman"/>
      <w:sz w:val="32"/>
      <w:szCs w:val="24"/>
    </w:rPr>
  </w:style>
  <w:style w:type="paragraph" w:styleId="29">
    <w:name w:val="List Paragraph"/>
    <w:basedOn w:val="1"/>
    <w:qFormat/>
    <w:uiPriority w:val="34"/>
    <w:pPr>
      <w:ind w:firstLine="420" w:firstLineChars="200"/>
    </w:pPr>
  </w:style>
  <w:style w:type="paragraph" w:customStyle="1" w:styleId="30">
    <w:name w:val="HTML Address"/>
    <w:basedOn w:val="1"/>
    <w:qFormat/>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31">
    <w:name w:val="p0"/>
    <w:basedOn w:val="1"/>
    <w:qFormat/>
    <w:uiPriority w:val="0"/>
    <w:pPr>
      <w:spacing w:line="365" w:lineRule="atLeast"/>
      <w:ind w:left="1" w:firstLine="0"/>
      <w:textAlignment w:val="bottom"/>
    </w:pPr>
    <w:rPr>
      <w:color w:val="auto"/>
      <w:sz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35</TotalTime>
  <ScaleCrop>false</ScaleCrop>
  <LinksUpToDate>false</LinksUpToDate>
  <CharactersWithSpaces>0</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2023-05-18T13:59:00Z</dcterms:created>
  <dc:creator>刘天奇</dc:creator>
  <cp:lastModifiedBy>乌海市水务局</cp:lastModifiedBy>
  <cp:lastPrinted>2023-05-18T14:05:00Z</cp:lastPrinted>
  <dcterms:modified xsi:type="dcterms:W3CDTF">2023-10-28T15:03:58Z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097C2137DE21D2B95EB23C659D3C4C29</vt:lpwstr>
  </property>
</Properties>
</file>