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firstLine="880" w:firstLineChars="200"/>
        <w:jc w:val="left"/>
        <w:textAlignment w:val="auto"/>
        <w:rPr>
          <w:rFonts w:hint="default" w:ascii="Times New Roman" w:hAnsi="Times New Roman" w:eastAsia="方正小标宋简体" w:cs="Times New Roman"/>
          <w:sz w:val="44"/>
        </w:rPr>
      </w:pPr>
      <w:r>
        <w:rPr>
          <w:sz w:val="44"/>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-423545</wp:posOffset>
                </wp:positionV>
                <wp:extent cx="1339215" cy="588010"/>
                <wp:effectExtent l="0" t="0" r="0" b="0"/>
                <wp:wrapNone/>
                <wp:docPr id="5" name="文本框 5"/>
                <wp:cNvGraphicFramePr/>
                <a:graphic xmlns:a="http://schemas.openxmlformats.org/drawingml/2006/main">
                  <a:graphicData uri="http://schemas.microsoft.com/office/word/2010/wordprocessingShape">
                    <wps:wsp>
                      <wps:cNvSpPr txBox="1"/>
                      <wps:spPr>
                        <a:xfrm>
                          <a:off x="971550" y="908685"/>
                          <a:ext cx="1339215" cy="5880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32"/>
                                <w:szCs w:val="32"/>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05pt;margin-top:-33.35pt;height:46.3pt;width:105.45pt;z-index:251660288;mso-width-relative:page;mso-height-relative:page;" filled="f" stroked="f" coordsize="21600,21600" o:gfxdata="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z/LqPZAAAACAEAAA8AAAAAAAAAAQAgAAAA&#10;IgAAAGRycy9kb3ducmV2LnhtbFBLAQIUABQAAAAIAIdO4kAh771iQwIAAHAEAAAOAAAAAAAAAAEA&#10;IAAAACgBAABkcnMvZTJvRG9jLnhtbFBLBQYAAAAABgAGAFkBAADdBQAAAAA=&#10;">
                <v:fill on="f" focussize="0,0"/>
                <v:stroke on="f" weight="0.5pt"/>
                <v:imagedata o:title=""/>
                <o:lock v:ext="edit" aspectratio="f"/>
                <v:textbox>
                  <w:txbxContent>
                    <w:p>
                      <w:pPr>
                        <w:rPr>
                          <w:rFonts w:hint="eastAsia" w:ascii="黑体" w:hAnsi="黑体" w:eastAsia="黑体" w:cs="黑体"/>
                          <w:sz w:val="32"/>
                          <w:szCs w:val="32"/>
                          <w:lang w:eastAsia="zh-CN"/>
                        </w:rPr>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ind w:firstLine="880" w:firstLineChars="200"/>
        <w:jc w:val="left"/>
        <w:textAlignment w:val="auto"/>
        <w:rPr>
          <w:rFonts w:hint="default" w:ascii="Times New Roman" w:hAnsi="Times New Roman" w:eastAsia="方正小标宋简体" w:cs="Times New Roman"/>
          <w:sz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小标宋简体" w:cs="Times New Roman"/>
          <w:sz w:val="44"/>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小标宋简体" w:cs="Times New Roman"/>
          <w:sz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sz w:val="44"/>
        </w:rPr>
      </w:pPr>
    </w:p>
    <w:p>
      <w:pPr>
        <w:keepNext w:val="0"/>
        <w:keepLines w:val="0"/>
        <w:pageBreakBefore w:val="0"/>
        <w:widowControl w:val="0"/>
        <w:kinsoku/>
        <w:wordWrap/>
        <w:overflowPunct/>
        <w:topLinePunct w:val="0"/>
        <w:autoSpaceDE/>
        <w:autoSpaceDN/>
        <w:bidi w:val="0"/>
        <w:adjustRightInd/>
        <w:snapToGrid/>
        <w:spacing w:line="520" w:lineRule="exact"/>
        <w:ind w:firstLine="160" w:firstLineChars="50"/>
        <w:jc w:val="left"/>
        <w:textAlignment w:val="auto"/>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sz w:val="32"/>
          <w:szCs w:val="32"/>
        </w:rPr>
        <w:t>乌国资发</w:t>
      </w:r>
      <w:r>
        <w:rPr>
          <w:rFonts w:hint="default" w:ascii="Times New Roman" w:hAnsi="Times New Roman" w:eastAsia="仿宋_GB2312" w:cs="Times New Roman"/>
          <w:color w:val="333333"/>
          <w:sz w:val="32"/>
          <w:szCs w:val="32"/>
          <w:shd w:val="clear" w:color="auto" w:fill="FFFFFF"/>
        </w:rPr>
        <w:t>〔20</w:t>
      </w:r>
      <w:r>
        <w:rPr>
          <w:rFonts w:hint="default" w:ascii="Times New Roman" w:hAnsi="Times New Roman" w:eastAsia="仿宋_GB2312" w:cs="Times New Roman"/>
          <w:color w:val="333333"/>
          <w:sz w:val="32"/>
          <w:szCs w:val="32"/>
          <w:shd w:val="clear" w:color="auto" w:fill="FFFFFF"/>
          <w:lang w:val="en-US" w:eastAsia="zh-CN"/>
        </w:rPr>
        <w:t>2</w:t>
      </w:r>
      <w:r>
        <w:rPr>
          <w:rFonts w:hint="eastAsia" w:ascii="Times New Roman" w:hAnsi="Times New Roman" w:eastAsia="仿宋_GB2312" w:cs="Times New Roman"/>
          <w:color w:val="333333"/>
          <w:sz w:val="32"/>
          <w:szCs w:val="32"/>
          <w:shd w:val="clear" w:color="auto" w:fill="FFFFFF"/>
          <w:lang w:val="en-US" w:eastAsia="zh-CN"/>
        </w:rPr>
        <w:t>4</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19</w:t>
      </w:r>
      <w:r>
        <w:rPr>
          <w:rFonts w:hint="default" w:ascii="Times New Roman" w:hAnsi="Times New Roman" w:eastAsia="仿宋_GB2312" w:cs="Times New Roman"/>
          <w:color w:val="333333"/>
          <w:sz w:val="32"/>
          <w:szCs w:val="32"/>
          <w:shd w:val="clear" w:color="auto" w:fill="FFFFFF"/>
        </w:rPr>
        <w:t>号</w:t>
      </w:r>
      <w:r>
        <w:rPr>
          <w:rFonts w:hint="eastAsia" w:ascii="Times New Roman" w:hAnsi="Times New Roman" w:eastAsia="仿宋_GB2312" w:cs="Times New Roman"/>
          <w:color w:val="333333"/>
          <w:sz w:val="32"/>
          <w:szCs w:val="32"/>
          <w:shd w:val="clear" w:color="auto" w:fill="FFFFFF"/>
          <w:lang w:val="en-US" w:eastAsia="zh-CN"/>
        </w:rPr>
        <w:t xml:space="preserve">                  签发人：王利峰</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乌海市国有资产监督管理委员会</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pacing w:val="-11"/>
          <w:sz w:val="44"/>
          <w:szCs w:val="44"/>
          <w:lang w:eastAsia="zh-CN"/>
        </w:rPr>
      </w:pPr>
      <w:r>
        <w:rPr>
          <w:rFonts w:hint="default" w:ascii="Times New Roman" w:hAnsi="Times New Roman" w:eastAsia="方正小标宋简体" w:cs="Times New Roman"/>
          <w:spacing w:val="-11"/>
          <w:sz w:val="44"/>
          <w:szCs w:val="44"/>
          <w:lang w:eastAsia="zh-CN"/>
        </w:rPr>
        <w:t>关于印发《国资监管提示函工作规则》和《国资监管通报工作规则》的通知</w:t>
      </w:r>
    </w:p>
    <w:p>
      <w:pPr>
        <w:pStyle w:val="2"/>
        <w:rPr>
          <w:rFonts w:hint="default"/>
          <w:lang w:val="en"/>
        </w:rPr>
      </w:pPr>
    </w:p>
    <w:p>
      <w:pPr>
        <w:keepNext w:val="0"/>
        <w:keepLines w:val="0"/>
        <w:pageBreakBefore w:val="0"/>
        <w:widowControl w:val="0"/>
        <w:kinsoku/>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sz w:val="32"/>
          <w:szCs w:val="32"/>
          <w:lang w:eastAsia="zh-CN"/>
        </w:rPr>
      </w:pPr>
      <w:r>
        <w:rPr>
          <w:rFonts w:hint="eastAsia" w:ascii="Times New Roman" w:hAnsi="Times New Roman" w:eastAsia="仿宋_GB2312" w:cs="Times New Roman"/>
          <w:b w:val="0"/>
          <w:bCs/>
          <w:sz w:val="32"/>
          <w:szCs w:val="32"/>
          <w:lang w:eastAsia="zh-CN"/>
        </w:rPr>
        <w:t>各市属国企，</w:t>
      </w:r>
      <w:r>
        <w:rPr>
          <w:rFonts w:hint="default" w:ascii="Times New Roman" w:hAnsi="Times New Roman" w:eastAsia="仿宋_GB2312" w:cs="Times New Roman"/>
          <w:b w:val="0"/>
          <w:bCs/>
          <w:sz w:val="32"/>
          <w:szCs w:val="32"/>
          <w:lang w:eastAsia="zh-CN"/>
        </w:rPr>
        <w:t>机关各科室</w:t>
      </w:r>
      <w:r>
        <w:rPr>
          <w:rFonts w:hint="eastAsia" w:ascii="Times New Roman" w:hAnsi="Times New Roman" w:eastAsia="仿宋_GB2312" w:cs="Times New Roman"/>
          <w:b w:val="0"/>
          <w:bCs/>
          <w:sz w:val="32"/>
          <w:szCs w:val="32"/>
          <w:lang w:eastAsia="zh-CN"/>
        </w:rPr>
        <w:t>，信息服务中心</w:t>
      </w:r>
      <w:r>
        <w:rPr>
          <w:rFonts w:hint="default" w:ascii="Times New Roman" w:hAnsi="Times New Roman" w:eastAsia="仿宋_GB2312" w:cs="Times New Roman"/>
          <w:b w:val="0"/>
          <w:bCs/>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 xml:space="preserve">     《乌海市国资委国资监管提示函工作规则》和《乌海市国资委国资监管通报工作规则》已经市国资委</w:t>
      </w:r>
      <w:r>
        <w:rPr>
          <w:rFonts w:hint="eastAsia" w:ascii="Times New Roman" w:hAnsi="Times New Roman" w:eastAsia="仿宋_GB2312" w:cs="Times New Roman"/>
          <w:b w:val="0"/>
          <w:bCs/>
          <w:sz w:val="32"/>
          <w:szCs w:val="32"/>
          <w:lang w:val="en-US" w:eastAsia="zh-CN"/>
        </w:rPr>
        <w:t>主任办公会审议通过</w:t>
      </w:r>
      <w:r>
        <w:rPr>
          <w:rFonts w:hint="default" w:ascii="Times New Roman" w:hAnsi="Times New Roman" w:eastAsia="仿宋_GB2312" w:cs="Times New Roman"/>
          <w:b w:val="0"/>
          <w:bCs/>
          <w:sz w:val="32"/>
          <w:szCs w:val="32"/>
          <w:lang w:val="en-US" w:eastAsia="zh-CN"/>
        </w:rPr>
        <w:t>，现印发给你们，请结合实际认真贯彻执行。</w:t>
      </w:r>
    </w:p>
    <w:p>
      <w:pPr>
        <w:keepNext w:val="0"/>
        <w:keepLines w:val="0"/>
        <w:pageBreakBefore w:val="0"/>
        <w:widowControl w:val="0"/>
        <w:kinsoku/>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sz w:val="32"/>
          <w:szCs w:val="32"/>
          <w:lang w:val="en-US" w:eastAsia="zh-CN"/>
        </w:rPr>
      </w:pPr>
      <w:bookmarkStart w:id="0" w:name="_GoBack"/>
      <w:bookmarkEnd w:id="0"/>
    </w:p>
    <w:p>
      <w:pPr>
        <w:keepNext w:val="0"/>
        <w:keepLines w:val="0"/>
        <w:pageBreakBefore w:val="0"/>
        <w:widowControl w:val="0"/>
        <w:kinsoku/>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b w:val="0"/>
          <w:bCs/>
          <w:sz w:val="32"/>
          <w:szCs w:val="32"/>
          <w:lang w:val="en-US" w:eastAsia="zh-CN"/>
        </w:rPr>
        <w:t xml:space="preserve">                             </w:t>
      </w:r>
      <w:r>
        <w:rPr>
          <w:rFonts w:hint="eastAsia"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2024年2月</w:t>
      </w:r>
      <w:r>
        <w:rPr>
          <w:rFonts w:hint="eastAsia" w:ascii="Times New Roman" w:hAnsi="Times New Roman" w:eastAsia="仿宋_GB2312" w:cs="Times New Roman"/>
          <w:b w:val="0"/>
          <w:bCs/>
          <w:sz w:val="32"/>
          <w:szCs w:val="32"/>
          <w:lang w:val="en-US" w:eastAsia="zh-CN"/>
        </w:rPr>
        <w:t>27</w:t>
      </w:r>
      <w:r>
        <w:rPr>
          <w:rFonts w:hint="default" w:ascii="Times New Roman" w:hAnsi="Times New Roman" w:eastAsia="仿宋_GB2312" w:cs="Times New Roman"/>
          <w:b w:val="0"/>
          <w:bCs/>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乌海市国资委</w:t>
      </w:r>
      <w:r>
        <w:rPr>
          <w:rFonts w:hint="eastAsia" w:ascii="方正小标宋简体" w:hAnsi="方正小标宋简体" w:eastAsia="方正小标宋简体" w:cs="方正小标宋简体"/>
          <w:b w:val="0"/>
          <w:bCs/>
          <w:sz w:val="44"/>
          <w:szCs w:val="44"/>
        </w:rPr>
        <w:t>国资监管提示函工作规则</w:t>
      </w:r>
    </w:p>
    <w:p>
      <w:pPr>
        <w:jc w:val="center"/>
        <w:rPr>
          <w:b/>
          <w:sz w:val="36"/>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sz w:val="32"/>
          <w:szCs w:val="32"/>
        </w:rPr>
      </w:pPr>
      <w:r>
        <w:rPr>
          <w:rFonts w:hint="eastAsia" w:ascii="黑体" w:eastAsia="黑体"/>
          <w:sz w:val="32"/>
          <w:szCs w:val="32"/>
        </w:rPr>
        <w:t>第一条</w:t>
      </w:r>
      <w:r>
        <w:rPr>
          <w:rFonts w:hint="eastAsia" w:ascii="仿宋_GB2312" w:eastAsia="仿宋_GB2312"/>
          <w:sz w:val="32"/>
          <w:szCs w:val="32"/>
        </w:rPr>
        <w:t xml:space="preserve"> </w:t>
      </w:r>
      <w:r>
        <w:rPr>
          <w:rFonts w:hint="default" w:ascii="Times New Roman" w:hAnsi="Times New Roman" w:eastAsia="仿宋_GB2312" w:cs="Times New Roman"/>
          <w:sz w:val="32"/>
          <w:szCs w:val="32"/>
        </w:rPr>
        <w:t>为贯彻落实以管资本为主加强国有资产监管的要求，加快完善国有资产监管体制机制，改进国有资产监督，加大对监管企业存在风险和问题警示力度，指导和督促监管企业提高防范化解风险能力，切实做好相关整改落实工作，参照国务院国资委《国资监管提示函工作规则》和《自治区国资委国资监管提示函工作规则》，结合我市国资委监管工作实际，制定本规则。</w:t>
      </w:r>
      <w:r>
        <w:rPr>
          <w:rFonts w:hint="eastAsia" w:ascii="仿宋" w:hAnsi="仿宋" w:eastAsia="仿宋"/>
          <w:sz w:val="32"/>
          <w:szCs w:val="32"/>
        </w:rPr>
        <w:t>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Times New Roman"/>
          <w:sz w:val="32"/>
          <w:szCs w:val="32"/>
        </w:rPr>
      </w:pPr>
      <w:r>
        <w:rPr>
          <w:rFonts w:hint="eastAsia" w:ascii="黑体" w:hAnsi="Calibri" w:eastAsia="黑体" w:cs="Times New Roman"/>
          <w:sz w:val="32"/>
          <w:szCs w:val="32"/>
        </w:rPr>
        <w:t>第二条</w:t>
      </w:r>
      <w:r>
        <w:rPr>
          <w:rFonts w:hint="eastAsia" w:ascii="仿宋" w:hAnsi="仿宋" w:eastAsia="仿宋"/>
          <w:sz w:val="32"/>
          <w:szCs w:val="32"/>
        </w:rPr>
        <w:t xml:space="preserve"> </w:t>
      </w:r>
      <w:r>
        <w:rPr>
          <w:rFonts w:hint="eastAsia" w:ascii="Times New Roman" w:hAnsi="Times New Roman" w:eastAsia="仿宋_GB2312" w:cs="Times New Roman"/>
          <w:sz w:val="32"/>
          <w:szCs w:val="32"/>
        </w:rPr>
        <w:t>本规则所称提示函是指市国资委（以下简称“国资委”）在国资监管工作中提示特定监管企业（以下简称“企业”）引起重视、有效应对、整改存在风险和问题的公文。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Times New Roman"/>
          <w:sz w:val="32"/>
          <w:szCs w:val="32"/>
        </w:rPr>
      </w:pPr>
      <w:r>
        <w:rPr>
          <w:rFonts w:hint="eastAsia" w:ascii="黑体" w:hAnsi="Calibri" w:eastAsia="黑体" w:cs="Times New Roman"/>
          <w:sz w:val="32"/>
          <w:szCs w:val="32"/>
        </w:rPr>
        <w:t>第三条</w:t>
      </w:r>
      <w:r>
        <w:rPr>
          <w:rFonts w:hint="eastAsia" w:ascii="仿宋" w:hAnsi="仿宋" w:eastAsia="仿宋"/>
          <w:sz w:val="32"/>
          <w:szCs w:val="32"/>
        </w:rPr>
        <w:t xml:space="preserve"> </w:t>
      </w:r>
      <w:r>
        <w:rPr>
          <w:rFonts w:hint="eastAsia" w:ascii="Times New Roman" w:hAnsi="Times New Roman" w:eastAsia="仿宋_GB2312" w:cs="Times New Roman"/>
          <w:sz w:val="32"/>
          <w:szCs w:val="32"/>
        </w:rPr>
        <w:t>提示函主要适用于企业发生以下情形：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（一）贯彻落实党中央、国务院重大决策部署，自治区党委、政府部署要求和市委、市政府工作安排力度不够，进度缓慢或成效欠佳的；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（二）执行党章和党内其他法规以及国资委党委规范性文件不到位的；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（三）执行国家法律法规规章、自治区地方性法规、规章和国家、自治区、我市国资监管政策和工作要求不到位的；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（四）企业未按规定执行重大事项请示报告制度或请示报告情况不准确、不及时、不恰当、不规范，可能对国资监管工作造成不良影响的；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（五）企业推动改革、发展、管控和党的建设工作不力，可能造成资产损失或其他不良后果的；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（六）企业改革、发展、管控、党的建设和董事会运行中存在苗头性、倾向性问题或较大风险隐患的；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（七）落实出资人监管和审计、纪检监察、巡视巡察监督等整改要求可能逾期或不达标的；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（八）在国际化经营、国际交流合作、外事管理等工作中行为不当，可能造成较大负面影响的；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（九）企业相关人员作风不实、履职不力，可能对重要工作推进产生较大负面影响的；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（十）其他需要提示的事项。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Times New Roman"/>
          <w:sz w:val="32"/>
          <w:szCs w:val="32"/>
        </w:rPr>
      </w:pPr>
      <w:r>
        <w:rPr>
          <w:rFonts w:hint="eastAsia" w:ascii="黑体" w:hAnsi="Calibri" w:eastAsia="黑体" w:cs="Times New Roman"/>
          <w:sz w:val="32"/>
          <w:szCs w:val="32"/>
        </w:rPr>
        <w:t>第四条</w:t>
      </w:r>
      <w:r>
        <w:rPr>
          <w:rFonts w:hint="eastAsia" w:ascii="仿宋" w:hAnsi="仿宋" w:eastAsia="仿宋"/>
          <w:sz w:val="32"/>
          <w:szCs w:val="32"/>
        </w:rPr>
        <w:t xml:space="preserve"> </w:t>
      </w:r>
      <w:r>
        <w:rPr>
          <w:rFonts w:hint="eastAsia" w:ascii="Times New Roman" w:hAnsi="Times New Roman" w:eastAsia="仿宋_GB2312" w:cs="Times New Roman"/>
          <w:sz w:val="32"/>
          <w:szCs w:val="32"/>
        </w:rPr>
        <w:t>国资委在国资监管工作中发现企业存在上述第三条所列情形的，由相关职能科室拟制提示函，提出提示事项和整改建议要求，报经分管委领导审签后，由办公室统一编号，以国资委党委或国资委业务函件形式向有关企业印发提示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涉及企业重大风险事项的提示函，须报经国资委党委会或主任办公会审定后印发。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涉及非特定企业存在风险和问题的，也可印发普发性提示函。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对收到提示函的企业，国资委将在年度经营业绩考核中予以扣分。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Times New Roman"/>
          <w:sz w:val="32"/>
          <w:szCs w:val="32"/>
        </w:rPr>
      </w:pPr>
      <w:r>
        <w:rPr>
          <w:rFonts w:hint="eastAsia" w:ascii="黑体" w:hAnsi="Calibri" w:eastAsia="黑体" w:cs="Times New Roman"/>
          <w:sz w:val="32"/>
          <w:szCs w:val="32"/>
        </w:rPr>
        <w:t>第五条</w:t>
      </w:r>
      <w:r>
        <w:rPr>
          <w:rFonts w:hint="eastAsia" w:ascii="仿宋" w:hAnsi="仿宋" w:eastAsia="仿宋"/>
          <w:sz w:val="32"/>
          <w:szCs w:val="32"/>
        </w:rPr>
        <w:t xml:space="preserve"> </w:t>
      </w:r>
      <w:r>
        <w:rPr>
          <w:rFonts w:hint="eastAsia" w:ascii="Times New Roman" w:hAnsi="Times New Roman" w:eastAsia="仿宋_GB2312" w:cs="Times New Roman"/>
          <w:sz w:val="32"/>
          <w:szCs w:val="32"/>
        </w:rPr>
        <w:t>有关企业收到提示函后，应认真组织落实，明确相关企业领导人员和职能部门的工作责任，对提示函事项进行分析研判，制定工作方案，采取有效措施，做好风险防控或整改落实工作。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sz w:val="32"/>
          <w:szCs w:val="32"/>
        </w:rPr>
      </w:pPr>
      <w:r>
        <w:rPr>
          <w:rFonts w:hint="eastAsia" w:ascii="黑体" w:hAnsi="Calibri" w:eastAsia="黑体" w:cs="Times New Roman"/>
          <w:sz w:val="32"/>
          <w:szCs w:val="32"/>
        </w:rPr>
        <w:t>第六条</w:t>
      </w:r>
      <w:r>
        <w:rPr>
          <w:rFonts w:hint="eastAsia" w:ascii="仿宋" w:hAnsi="仿宋" w:eastAsia="仿宋"/>
          <w:sz w:val="32"/>
          <w:szCs w:val="32"/>
        </w:rPr>
        <w:t xml:space="preserve"> </w:t>
      </w:r>
      <w:r>
        <w:rPr>
          <w:rFonts w:hint="eastAsia" w:ascii="Times New Roman" w:hAnsi="Times New Roman" w:eastAsia="仿宋_GB2312" w:cs="Times New Roman"/>
          <w:sz w:val="32"/>
          <w:szCs w:val="32"/>
        </w:rPr>
        <w:t>对于提出的风险事项，有关企业应当开展全面排查核实，准确评估风险涉及的范围、影响程度等，积极应对风险，做好企业间风险隔离。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Times New Roman"/>
          <w:sz w:val="32"/>
          <w:szCs w:val="32"/>
        </w:rPr>
      </w:pPr>
      <w:r>
        <w:rPr>
          <w:rFonts w:hint="eastAsia" w:ascii="黑体" w:hAnsi="Calibri" w:eastAsia="黑体" w:cs="Times New Roman"/>
          <w:sz w:val="32"/>
          <w:szCs w:val="32"/>
        </w:rPr>
        <w:t>第七条</w:t>
      </w:r>
      <w:r>
        <w:rPr>
          <w:rFonts w:hint="eastAsia" w:ascii="仿宋" w:hAnsi="仿宋" w:eastAsia="仿宋"/>
          <w:sz w:val="32"/>
          <w:szCs w:val="32"/>
        </w:rPr>
        <w:t xml:space="preserve"> </w:t>
      </w:r>
      <w:r>
        <w:rPr>
          <w:rFonts w:hint="eastAsia" w:ascii="Times New Roman" w:hAnsi="Times New Roman" w:eastAsia="仿宋_GB2312" w:cs="Times New Roman"/>
          <w:sz w:val="32"/>
          <w:szCs w:val="32"/>
        </w:rPr>
        <w:t>对于需要整改落实的事项，有关企业要严格对照相关整改要求，细化整改措施，明确整改时限，切实整改落实到位。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Times New Roman"/>
          <w:sz w:val="32"/>
          <w:szCs w:val="32"/>
        </w:rPr>
      </w:pPr>
      <w:r>
        <w:rPr>
          <w:rFonts w:hint="eastAsia" w:ascii="黑体" w:hAnsi="Calibri" w:eastAsia="黑体" w:cs="Times New Roman"/>
          <w:sz w:val="32"/>
          <w:szCs w:val="32"/>
        </w:rPr>
        <w:t>第八条</w:t>
      </w:r>
      <w:r>
        <w:rPr>
          <w:rFonts w:hint="eastAsia" w:ascii="仿宋" w:hAnsi="仿宋" w:eastAsia="仿宋"/>
          <w:sz w:val="32"/>
          <w:szCs w:val="32"/>
        </w:rPr>
        <w:t xml:space="preserve"> </w:t>
      </w:r>
      <w:r>
        <w:rPr>
          <w:rFonts w:hint="eastAsia" w:ascii="Times New Roman" w:hAnsi="Times New Roman" w:eastAsia="仿宋_GB2312" w:cs="Times New Roman"/>
          <w:sz w:val="32"/>
          <w:szCs w:val="32"/>
        </w:rPr>
        <w:t>有关企业应在收到提示函10个工作日内将风险防控或整改落实工作方案报送国资委；对提示函事项持有异议的，应当正式向国资委作出书面解释说明。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Times New Roman"/>
          <w:sz w:val="32"/>
          <w:szCs w:val="32"/>
        </w:rPr>
      </w:pPr>
      <w:r>
        <w:rPr>
          <w:rFonts w:hint="eastAsia" w:ascii="黑体" w:hAnsi="Calibri" w:eastAsia="黑体" w:cs="Times New Roman"/>
          <w:sz w:val="32"/>
          <w:szCs w:val="32"/>
        </w:rPr>
        <w:t>第九条</w:t>
      </w:r>
      <w:r>
        <w:rPr>
          <w:rFonts w:hint="eastAsia" w:ascii="仿宋" w:hAnsi="仿宋" w:eastAsia="仿宋"/>
          <w:sz w:val="32"/>
          <w:szCs w:val="32"/>
        </w:rPr>
        <w:t xml:space="preserve"> </w:t>
      </w:r>
      <w:r>
        <w:rPr>
          <w:rFonts w:hint="eastAsia" w:ascii="Times New Roman" w:hAnsi="Times New Roman" w:eastAsia="仿宋_GB2312" w:cs="Times New Roman"/>
          <w:sz w:val="32"/>
          <w:szCs w:val="32"/>
        </w:rPr>
        <w:t>有关企业要按照确定的工作方案，积极采取措施防控风险，落实整改要求，完善关键环节和重点领域的管控制度，优化管理流程，强化内控体系有效执行，并通过企业内部审计监督检查、巡察等工作，确保风险可控在控，整改工作落实落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 w:hAnsi="仿宋" w:eastAsia="仿宋"/>
          <w:sz w:val="32"/>
          <w:szCs w:val="32"/>
        </w:rPr>
      </w:pPr>
      <w:r>
        <w:rPr>
          <w:rFonts w:hint="eastAsia" w:ascii="黑体" w:hAnsi="Calibri" w:eastAsia="黑体" w:cs="Times New Roman"/>
          <w:sz w:val="32"/>
          <w:szCs w:val="32"/>
        </w:rPr>
        <w:t>第十条</w:t>
      </w:r>
      <w:r>
        <w:rPr>
          <w:rFonts w:hint="eastAsia" w:ascii="仿宋" w:hAnsi="仿宋" w:eastAsia="仿宋"/>
          <w:sz w:val="32"/>
          <w:szCs w:val="32"/>
        </w:rPr>
        <w:t xml:space="preserve"> </w:t>
      </w:r>
      <w:r>
        <w:rPr>
          <w:rFonts w:hint="eastAsia" w:ascii="Times New Roman" w:hAnsi="Times New Roman" w:eastAsia="仿宋_GB2312" w:cs="Times New Roman"/>
          <w:sz w:val="32"/>
          <w:szCs w:val="32"/>
        </w:rPr>
        <w:t>对于需要长期整改落实的事项，有关企业应当定期向国资委报告工作进展情况；对于可能造成较大、重大资产损失或其他严重不良后果的，应当及时报告国资委。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Times New Roman"/>
          <w:sz w:val="32"/>
          <w:szCs w:val="32"/>
        </w:rPr>
      </w:pPr>
      <w:r>
        <w:rPr>
          <w:rFonts w:hint="eastAsia" w:ascii="黑体" w:hAnsi="Calibri" w:eastAsia="黑体" w:cs="Times New Roman"/>
          <w:sz w:val="32"/>
          <w:szCs w:val="32"/>
        </w:rPr>
        <w:t xml:space="preserve">第十一条 </w:t>
      </w:r>
      <w:r>
        <w:rPr>
          <w:rFonts w:hint="eastAsia" w:ascii="Times New Roman" w:hAnsi="Times New Roman" w:eastAsia="仿宋_GB2312" w:cs="Times New Roman"/>
          <w:sz w:val="32"/>
          <w:szCs w:val="32"/>
        </w:rPr>
        <w:t>有关企业在提示函事项办结后，要将相关工作开展情况、具体举措、整改成效等形成专项工作报告，正式报送国资委。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Times New Roman"/>
          <w:sz w:val="32"/>
          <w:szCs w:val="32"/>
        </w:rPr>
      </w:pPr>
      <w:r>
        <w:rPr>
          <w:rFonts w:hint="eastAsia" w:ascii="黑体" w:hAnsi="Calibri" w:eastAsia="黑体" w:cs="Times New Roman"/>
          <w:sz w:val="32"/>
          <w:szCs w:val="32"/>
        </w:rPr>
        <w:t>第十二条</w:t>
      </w:r>
      <w:r>
        <w:rPr>
          <w:rFonts w:hint="eastAsia" w:ascii="仿宋" w:hAnsi="仿宋" w:eastAsia="仿宋"/>
          <w:sz w:val="32"/>
          <w:szCs w:val="32"/>
        </w:rPr>
        <w:t xml:space="preserve"> </w:t>
      </w:r>
      <w:r>
        <w:rPr>
          <w:rFonts w:hint="eastAsia" w:ascii="Times New Roman" w:hAnsi="Times New Roman" w:eastAsia="仿宋_GB2312" w:cs="Times New Roman"/>
          <w:sz w:val="32"/>
          <w:szCs w:val="32"/>
        </w:rPr>
        <w:t>国资委将加强对提示函事项的监督检查工作，跟踪评估整改成效，切实消除风险隐患，提升国资监管效能。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Times New Roman"/>
          <w:sz w:val="32"/>
          <w:szCs w:val="32"/>
        </w:rPr>
      </w:pPr>
      <w:r>
        <w:rPr>
          <w:rFonts w:hint="eastAsia" w:ascii="黑体" w:hAnsi="Calibri" w:eastAsia="黑体" w:cs="Times New Roman"/>
          <w:sz w:val="32"/>
          <w:szCs w:val="32"/>
        </w:rPr>
        <w:t xml:space="preserve">第十三条 </w:t>
      </w:r>
      <w:r>
        <w:rPr>
          <w:rFonts w:hint="eastAsia" w:ascii="Times New Roman" w:hAnsi="Times New Roman" w:eastAsia="仿宋_GB2312" w:cs="Times New Roman"/>
          <w:sz w:val="32"/>
          <w:szCs w:val="32"/>
        </w:rPr>
        <w:t>国资委将定期汇总分析提示函反映企业存在的风险隐患和问题，有针对性地完善国资监管政策制度，并</w:t>
      </w:r>
      <w:r>
        <w:rPr>
          <w:rFonts w:hint="eastAsia" w:ascii="Times New Roman" w:hAnsi="Times New Roman" w:eastAsia="仿宋_GB2312" w:cs="Times New Roman"/>
          <w:sz w:val="32"/>
          <w:szCs w:val="32"/>
          <w:lang w:val="en-US" w:eastAsia="zh-CN"/>
        </w:rPr>
        <w:t>对</w:t>
      </w:r>
      <w:r>
        <w:rPr>
          <w:rFonts w:hint="eastAsia" w:ascii="Times New Roman" w:hAnsi="Times New Roman" w:eastAsia="仿宋_GB2312" w:cs="Times New Roman"/>
          <w:sz w:val="32"/>
          <w:szCs w:val="32"/>
        </w:rPr>
        <w:t>典型性、普遍性、多发性和系统性问题</w:t>
      </w:r>
      <w:r>
        <w:rPr>
          <w:rFonts w:hint="eastAsia" w:ascii="Times New Roman" w:hAnsi="Times New Roman" w:eastAsia="仿宋_GB2312" w:cs="Times New Roman"/>
          <w:sz w:val="32"/>
          <w:szCs w:val="32"/>
          <w:lang w:val="en-US" w:eastAsia="zh-CN"/>
        </w:rPr>
        <w:t>适时</w:t>
      </w:r>
      <w:r>
        <w:rPr>
          <w:rFonts w:hint="eastAsia" w:ascii="Times New Roman" w:hAnsi="Times New Roman" w:eastAsia="仿宋_GB2312" w:cs="Times New Roman"/>
          <w:sz w:val="32"/>
          <w:szCs w:val="32"/>
        </w:rPr>
        <w:t>进行抽查复核。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Times New Roman"/>
          <w:sz w:val="32"/>
          <w:szCs w:val="32"/>
        </w:rPr>
      </w:pPr>
      <w:r>
        <w:rPr>
          <w:rFonts w:hint="eastAsia" w:ascii="黑体" w:hAnsi="Calibri" w:eastAsia="黑体" w:cs="Times New Roman"/>
          <w:sz w:val="32"/>
          <w:szCs w:val="32"/>
        </w:rPr>
        <w:t xml:space="preserve">第十四条 </w:t>
      </w:r>
      <w:r>
        <w:rPr>
          <w:rFonts w:hint="eastAsia" w:ascii="Times New Roman" w:hAnsi="Times New Roman" w:eastAsia="仿宋_GB2312" w:cs="Times New Roman"/>
          <w:sz w:val="32"/>
          <w:szCs w:val="32"/>
        </w:rPr>
        <w:t>国资委对提示函事项整改不及时、不彻底或敷衍整改的企业，进行约谈、通报；对违规经营投资造成资产损失或其他严重不良后果的，严肃追究责任；对涉嫌违纪违法的，及时移交有关纪检监察机构。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Times New Roman" w:hAnsi="Times New Roman" w:eastAsia="仿宋_GB2312" w:cs="Times New Roman"/>
          <w:sz w:val="32"/>
          <w:szCs w:val="32"/>
        </w:rPr>
      </w:pPr>
      <w:r>
        <w:rPr>
          <w:rFonts w:hint="eastAsia" w:ascii="黑体" w:hAnsi="Calibri" w:eastAsia="黑体" w:cs="Times New Roman"/>
          <w:sz w:val="32"/>
          <w:szCs w:val="32"/>
        </w:rPr>
        <w:t xml:space="preserve">第十五条 </w:t>
      </w:r>
      <w:r>
        <w:rPr>
          <w:rFonts w:hint="eastAsia" w:ascii="Times New Roman" w:hAnsi="Times New Roman" w:eastAsia="仿宋_GB2312" w:cs="Times New Roman"/>
          <w:sz w:val="32"/>
          <w:szCs w:val="32"/>
        </w:rPr>
        <w:t>本规则由国资委负责解释，自发布之日起施行。</w:t>
      </w:r>
    </w:p>
    <w:p>
      <w:pPr>
        <w:jc w:val="center"/>
        <w:rPr>
          <w:rFonts w:hint="eastAsia" w:ascii="方正小标宋简体" w:hAnsi="方正小标宋简体" w:eastAsia="方正小标宋简体" w:cs="方正小标宋简体"/>
          <w:b w:val="0"/>
          <w:bCs/>
          <w:sz w:val="44"/>
          <w:szCs w:val="44"/>
          <w:lang w:eastAsia="zh-CN"/>
        </w:rPr>
      </w:pPr>
    </w:p>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br w:type="page"/>
      </w:r>
      <w:r>
        <w:rPr>
          <w:rFonts w:hint="eastAsia" w:ascii="方正小标宋简体" w:hAnsi="方正小标宋简体" w:eastAsia="方正小标宋简体" w:cs="方正小标宋简体"/>
          <w:b w:val="0"/>
          <w:bCs/>
          <w:sz w:val="44"/>
          <w:szCs w:val="44"/>
          <w:lang w:eastAsia="zh-CN"/>
        </w:rPr>
        <w:t>乌海市国资委</w:t>
      </w:r>
      <w:r>
        <w:rPr>
          <w:rFonts w:hint="eastAsia" w:ascii="方正小标宋简体" w:hAnsi="方正小标宋简体" w:eastAsia="方正小标宋简体" w:cs="方正小标宋简体"/>
          <w:b w:val="0"/>
          <w:bCs/>
          <w:sz w:val="44"/>
          <w:szCs w:val="44"/>
        </w:rPr>
        <w:t>国资监管通报工作规则</w:t>
      </w:r>
    </w:p>
    <w:p>
      <w:pPr>
        <w:spacing w:line="560" w:lineRule="exact"/>
        <w:jc w:val="center"/>
        <w:rPr>
          <w:rFonts w:ascii="宋体" w:hAnsi="宋体"/>
          <w:b/>
          <w:sz w:val="36"/>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eastAsia="黑体"/>
          <w:sz w:val="32"/>
          <w:szCs w:val="32"/>
        </w:rPr>
        <w:t>第一条</w:t>
      </w:r>
      <w:r>
        <w:rPr>
          <w:rFonts w:hint="eastAsia" w:ascii="仿宋_GB2312" w:eastAsia="仿宋_GB2312"/>
          <w:sz w:val="32"/>
          <w:szCs w:val="32"/>
        </w:rPr>
        <w:t xml:space="preserve"> </w:t>
      </w:r>
      <w:r>
        <w:rPr>
          <w:rFonts w:hint="eastAsia" w:ascii="仿宋_GB2312" w:hAnsi="仿宋_GB2312" w:eastAsia="仿宋_GB2312" w:cs="仿宋_GB2312"/>
          <w:sz w:val="32"/>
          <w:szCs w:val="32"/>
        </w:rPr>
        <w:t>为贯彻落实以管资本为主加强国有资产监管的要求，加快完善国有资产监管体制机制，改进国有资产监督，有效开展对监管企业重大违规问题和资产损失事件的通报工作，发挥警示教育和惩戒震慑作用，强化整改落实工作，参照国务院国资委《国资监管通报工作规则》和《自治区国资委国资监管通报工作规则》，结合我市国资委监管工作实际，制定本规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Calibri" w:eastAsia="黑体" w:cs="Times New Roman"/>
          <w:sz w:val="32"/>
          <w:szCs w:val="32"/>
        </w:rPr>
        <w:t>第二条</w:t>
      </w:r>
      <w:r>
        <w:rPr>
          <w:rFonts w:hint="eastAsia" w:ascii="仿宋_GB2312" w:hAnsi="仿宋_GB2312" w:eastAsia="仿宋_GB2312" w:cs="仿宋_GB2312"/>
          <w:sz w:val="32"/>
          <w:szCs w:val="32"/>
        </w:rPr>
        <w:t xml:space="preserve"> 本规则所称通报是指市国资委（以下简称“国资委”）在国资监管工作中，对监管企业存在的典型性、普遍性或重大违规问题和资产损失事件，在监管企业（以下简称“企业”）范围内予以批评、教育和警示的公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Calibri" w:eastAsia="黑体" w:cs="Times New Roman"/>
          <w:sz w:val="32"/>
          <w:szCs w:val="32"/>
        </w:rPr>
        <w:t>第三条</w:t>
      </w:r>
      <w:r>
        <w:rPr>
          <w:rFonts w:hint="eastAsia" w:ascii="仿宋_GB2312" w:hAnsi="仿宋_GB2312" w:eastAsia="仿宋_GB2312" w:cs="仿宋_GB2312"/>
          <w:sz w:val="32"/>
          <w:szCs w:val="32"/>
        </w:rPr>
        <w:t xml:space="preserve"> 通报主要适用于企业发生以下情形：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（一）贯彻落实习近平总书记重要指示批示，党中央、国务院决策部署，自治区党委、政府部署要求和市委、市政府工作安排存在重大问题或产生其他严重不良后果的；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（二）严重违反党章和党内其他法规以及国资委党委规范性文件的；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（三）严重违反国家法律法规规章、自治区地方性法规规章和国家、自治区国资监管政策规定和工作要求的；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（四）企业未按规定执行重大事项请示报告制度，或恶意瞒报漏报谎报，对国资监管工作造成严重不良影响的；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（五）企业改革、发展、管控、党的建设和董事会运行中存在突出问题，造成重大资产损失、重大风险或其他严重不良后果的；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（六）对出资人监管和审计、纪检监察、巡视巡察监督等工作中发现的问题拒绝整改、敷衍整改或反复整改不到位的；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（七）在国际化经营、国际交流合作、外事管理等工作中行为不当，造成重大负面影响或其他严重不良后果的；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（八）企业相关人员作风不实、履职不力，延误重要工作或对重要工作推进产生重大负面影响的；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（九）其他需要通报的事项。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Calibri" w:eastAsia="黑体" w:cs="Times New Roman"/>
          <w:sz w:val="32"/>
          <w:szCs w:val="32"/>
        </w:rPr>
        <w:t xml:space="preserve">第四条 </w:t>
      </w:r>
      <w:r>
        <w:rPr>
          <w:rFonts w:hint="eastAsia" w:ascii="仿宋_GB2312" w:hAnsi="仿宋_GB2312" w:eastAsia="仿宋_GB2312" w:cs="仿宋_GB2312"/>
          <w:sz w:val="32"/>
          <w:szCs w:val="32"/>
        </w:rPr>
        <w:t>国资委在国资监管工作中发现企业存在上述第三条所列情形的，由相关职能科室拟制通报稿，报经国资委党委会议审定后，统一编号，以国资委党委函件的形式向各企业印发通报。</w:t>
      </w:r>
      <w:r>
        <w:rPr>
          <w:rFonts w:hint="eastAsia" w:ascii="Times New Roman" w:hAnsi="Times New Roman" w:eastAsia="仿宋_GB2312" w:cs="Times New Roman"/>
          <w:sz w:val="32"/>
          <w:szCs w:val="32"/>
          <w:lang w:eastAsia="zh-CN"/>
        </w:rPr>
        <w:t>对收到通报的企业，国资委将在年度经营业绩考核中予以扣分。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Calibri" w:eastAsia="黑体" w:cs="Times New Roman"/>
          <w:sz w:val="32"/>
          <w:szCs w:val="32"/>
        </w:rPr>
        <w:t xml:space="preserve">第五条 </w:t>
      </w:r>
      <w:r>
        <w:rPr>
          <w:rFonts w:hint="eastAsia" w:ascii="仿宋_GB2312" w:hAnsi="仿宋_GB2312" w:eastAsia="仿宋_GB2312" w:cs="仿宋_GB2312"/>
          <w:sz w:val="32"/>
          <w:szCs w:val="32"/>
        </w:rPr>
        <w:t>有关企业收到通报后，及时传达部署，企业主要负责人、领导班子成员及有关职能部门认真分析通报事项产生的根源，研究制定整改工作方案，明确整改措施、责任主体和时间进度，认真落实整改要求。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Calibri" w:eastAsia="黑体" w:cs="Times New Roman"/>
          <w:sz w:val="32"/>
          <w:szCs w:val="32"/>
        </w:rPr>
        <w:t>第六条</w:t>
      </w:r>
      <w:r>
        <w:rPr>
          <w:rFonts w:hint="eastAsia" w:ascii="仿宋_GB2312" w:hAnsi="仿宋_GB2312" w:eastAsia="仿宋_GB2312" w:cs="仿宋_GB2312"/>
          <w:sz w:val="32"/>
          <w:szCs w:val="32"/>
        </w:rPr>
        <w:t xml:space="preserve"> 有关企业在收到通报20个工作日内将相关工作情况及整改工作方案报送国资委。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Calibri" w:eastAsia="黑体" w:cs="Times New Roman"/>
          <w:sz w:val="32"/>
          <w:szCs w:val="32"/>
        </w:rPr>
        <w:t xml:space="preserve">第七条 </w:t>
      </w:r>
      <w:r>
        <w:rPr>
          <w:rFonts w:hint="eastAsia" w:ascii="仿宋_GB2312" w:hAnsi="仿宋_GB2312" w:eastAsia="仿宋_GB2312" w:cs="仿宋_GB2312"/>
          <w:sz w:val="32"/>
          <w:szCs w:val="32"/>
        </w:rPr>
        <w:t>有关企业相关职能部门应当积极采取措施，立即纠正违规行为，消除不良影响，减少或挽回资产损失，有效防范类似事件发生。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Calibri" w:eastAsia="黑体" w:cs="Times New Roman"/>
          <w:sz w:val="32"/>
          <w:szCs w:val="32"/>
        </w:rPr>
        <w:t xml:space="preserve">第八条 </w:t>
      </w:r>
      <w:r>
        <w:rPr>
          <w:rFonts w:hint="eastAsia" w:ascii="仿宋_GB2312" w:hAnsi="仿宋_GB2312" w:eastAsia="仿宋_GB2312" w:cs="仿宋_GB2312"/>
          <w:sz w:val="32"/>
          <w:szCs w:val="32"/>
        </w:rPr>
        <w:t>有关企业内控（风险）管理部门对照通报事项反映的重大缺陷和管理漏洞，完善关键环节和重点领域的管控制度，优化管理流程，强化内控体系有效执行，切实提升内控体系管控水平。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Calibri" w:eastAsia="黑体" w:cs="Times New Roman"/>
          <w:sz w:val="32"/>
          <w:szCs w:val="32"/>
        </w:rPr>
        <w:t xml:space="preserve">第九条 </w:t>
      </w:r>
      <w:r>
        <w:rPr>
          <w:rFonts w:hint="eastAsia" w:ascii="仿宋_GB2312" w:hAnsi="仿宋_GB2312" w:eastAsia="仿宋_GB2312" w:cs="仿宋_GB2312"/>
          <w:sz w:val="32"/>
          <w:szCs w:val="32"/>
        </w:rPr>
        <w:t>有关企业审计部门、企业内部巡察应当将通报事项纳入年度工作重点，强化对企业重大风险和问题整改工作跟踪检查力度，检验整改工作成效，确保整改工作落实落地。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Calibri" w:eastAsia="黑体" w:cs="Times New Roman"/>
          <w:sz w:val="32"/>
          <w:szCs w:val="32"/>
        </w:rPr>
        <w:t>第十条</w:t>
      </w:r>
      <w:r>
        <w:rPr>
          <w:rFonts w:hint="eastAsia" w:ascii="仿宋_GB2312" w:hAnsi="仿宋_GB2312" w:eastAsia="仿宋_GB2312" w:cs="仿宋_GB2312"/>
          <w:sz w:val="32"/>
          <w:szCs w:val="32"/>
        </w:rPr>
        <w:t xml:space="preserve"> 对于通报事项涉及违反党规党纪、违规经营投资造成资产损失或其他严重不良后果的，有关企业要严格按照规定对相关责任人严肃问责。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Calibri" w:eastAsia="黑体" w:cs="Times New Roman"/>
          <w:sz w:val="32"/>
          <w:szCs w:val="32"/>
        </w:rPr>
        <w:t xml:space="preserve">第十一条 </w:t>
      </w:r>
      <w:r>
        <w:rPr>
          <w:rFonts w:hint="eastAsia" w:ascii="仿宋_GB2312" w:hAnsi="仿宋_GB2312" w:eastAsia="仿宋_GB2312" w:cs="仿宋_GB2312"/>
          <w:sz w:val="32"/>
          <w:szCs w:val="32"/>
        </w:rPr>
        <w:t>对于需要长期整改落实的通报事项，有关企业应当定期向国资委报告整改工作进展情况。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Calibri" w:eastAsia="黑体" w:cs="Times New Roman"/>
          <w:sz w:val="32"/>
          <w:szCs w:val="32"/>
        </w:rPr>
        <w:t xml:space="preserve">第十二条 </w:t>
      </w:r>
      <w:r>
        <w:rPr>
          <w:rFonts w:hint="eastAsia" w:ascii="仿宋_GB2312" w:hAnsi="仿宋_GB2312" w:eastAsia="仿宋_GB2312" w:cs="仿宋_GB2312"/>
          <w:sz w:val="32"/>
          <w:szCs w:val="32"/>
        </w:rPr>
        <w:t>有关企业对通报事项整改落实后，要将整改工作开展情况、具体举措、整改成效及人员处理情况等形成专项工作报告，正式报送国资委。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Calibri" w:eastAsia="黑体" w:cs="Times New Roman"/>
          <w:sz w:val="32"/>
          <w:szCs w:val="32"/>
        </w:rPr>
        <w:t xml:space="preserve">第十三条 </w:t>
      </w:r>
      <w:r>
        <w:rPr>
          <w:rFonts w:hint="eastAsia" w:ascii="仿宋_GB2312" w:hAnsi="仿宋_GB2312" w:eastAsia="仿宋_GB2312" w:cs="仿宋_GB2312"/>
          <w:sz w:val="32"/>
          <w:szCs w:val="32"/>
        </w:rPr>
        <w:t>各企业要从通报事项中汲取教训，引以为戒，举一反三，主动开展对照检查，发现类似问题应当按照通报相关要求做好整改落实工作。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Calibri" w:eastAsia="黑体" w:cs="Times New Roman"/>
          <w:sz w:val="32"/>
          <w:szCs w:val="32"/>
        </w:rPr>
        <w:t>第十四条</w:t>
      </w:r>
      <w:r>
        <w:rPr>
          <w:rFonts w:hint="eastAsia" w:ascii="仿宋_GB2312" w:hAnsi="仿宋_GB2312" w:eastAsia="仿宋_GB2312" w:cs="仿宋_GB2312"/>
          <w:sz w:val="32"/>
          <w:szCs w:val="32"/>
        </w:rPr>
        <w:t xml:space="preserve"> 国资委将加强对企业通报事项整改落实工作的监督检查，评估整改成效，推动企业不断完善内部管控机制。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Calibri" w:eastAsia="黑体" w:cs="Times New Roman"/>
          <w:sz w:val="32"/>
          <w:szCs w:val="32"/>
        </w:rPr>
        <w:t xml:space="preserve">第十五条 </w:t>
      </w:r>
      <w:r>
        <w:rPr>
          <w:rFonts w:hint="eastAsia" w:ascii="仿宋_GB2312" w:hAnsi="仿宋_GB2312" w:eastAsia="仿宋_GB2312" w:cs="仿宋_GB2312"/>
          <w:sz w:val="32"/>
          <w:szCs w:val="32"/>
        </w:rPr>
        <w:t>国资委将定期汇总分析通报反映企业存在的重大风险事件和突出问题，有针对性地完善国资监管政策制度，并</w:t>
      </w:r>
      <w:r>
        <w:rPr>
          <w:rFonts w:hint="eastAsia" w:ascii="仿宋_GB2312" w:hAnsi="仿宋_GB2312" w:eastAsia="仿宋_GB2312" w:cs="仿宋_GB2312"/>
          <w:sz w:val="32"/>
          <w:szCs w:val="32"/>
          <w:lang w:val="en-US" w:eastAsia="zh-CN"/>
        </w:rPr>
        <w:t>适时</w:t>
      </w:r>
      <w:r>
        <w:rPr>
          <w:rFonts w:hint="eastAsia" w:ascii="仿宋_GB2312" w:hAnsi="仿宋_GB2312" w:eastAsia="仿宋_GB2312" w:cs="仿宋_GB2312"/>
          <w:sz w:val="32"/>
          <w:szCs w:val="32"/>
        </w:rPr>
        <w:t>进行抽查复核。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Calibri" w:eastAsia="黑体" w:cs="Times New Roman"/>
          <w:sz w:val="32"/>
          <w:szCs w:val="32"/>
        </w:rPr>
        <w:t>第十六条</w:t>
      </w:r>
      <w:r>
        <w:rPr>
          <w:rFonts w:hint="eastAsia" w:ascii="仿宋_GB2312" w:hAnsi="仿宋_GB2312" w:eastAsia="仿宋_GB2312" w:cs="仿宋_GB2312"/>
          <w:sz w:val="32"/>
          <w:szCs w:val="32"/>
        </w:rPr>
        <w:t xml:space="preserve"> 国资委对整改不到位或拒绝整改、拖延整改的企业，要严肃追究责任；对涉嫌违纪违法的，及时移交有关纪检监察机构。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Calibri" w:eastAsia="黑体" w:cs="Times New Roman"/>
          <w:sz w:val="32"/>
          <w:szCs w:val="32"/>
        </w:rPr>
        <w:t>第十七条</w:t>
      </w:r>
      <w:r>
        <w:rPr>
          <w:rFonts w:hint="eastAsia" w:ascii="仿宋_GB2312" w:hAnsi="仿宋_GB2312" w:eastAsia="仿宋_GB2312" w:cs="仿宋_GB2312"/>
          <w:sz w:val="32"/>
          <w:szCs w:val="32"/>
        </w:rPr>
        <w:t xml:space="preserve"> 本规则由国资委负责解释，自发布之日起施行。</w:t>
      </w:r>
    </w:p>
    <w:p>
      <w:pPr>
        <w:pStyle w:val="18"/>
        <w:rPr>
          <w:rFonts w:hint="default"/>
          <w:lang w:val="en-US" w:eastAsia="zh-CN"/>
        </w:rPr>
      </w:pPr>
    </w:p>
    <w:p>
      <w:pPr>
        <w:rPr>
          <w:rFonts w:hint="default"/>
          <w:lang w:val="en-US" w:eastAsia="zh-CN"/>
        </w:rPr>
      </w:pPr>
    </w:p>
    <w:p>
      <w:pPr>
        <w:pStyle w:val="18"/>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pStyle w:val="18"/>
        <w:rPr>
          <w:rFonts w:hint="default"/>
          <w:lang w:val="en-US" w:eastAsia="zh-CN"/>
        </w:rPr>
      </w:pPr>
    </w:p>
    <w:p>
      <w:pPr>
        <w:rPr>
          <w:rFonts w:hint="default"/>
          <w:lang w:val="en-US" w:eastAsia="zh-CN"/>
        </w:rPr>
      </w:pPr>
    </w:p>
    <w:p>
      <w:pPr>
        <w:keepNext w:val="0"/>
        <w:keepLines w:val="0"/>
        <w:pageBreakBefore w:val="0"/>
        <w:widowControl w:val="0"/>
        <w:tabs>
          <w:tab w:val="left" w:pos="1242"/>
        </w:tabs>
        <w:kinsoku/>
        <w:wordWrap/>
        <w:overflowPunct/>
        <w:topLinePunct w:val="0"/>
        <w:autoSpaceDE/>
        <w:autoSpaceDN/>
        <w:bidi w:val="0"/>
        <w:adjustRightInd/>
        <w:snapToGrid/>
        <w:spacing w:line="600" w:lineRule="exact"/>
        <w:ind w:left="0" w:leftChars="0" w:firstLine="280" w:firstLineChars="100"/>
        <w:jc w:val="left"/>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cs="Times New Roman"/>
          <w:sz w:val="28"/>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62865</wp:posOffset>
                </wp:positionV>
                <wp:extent cx="5572125" cy="9525"/>
                <wp:effectExtent l="0" t="4445" r="5715" b="8890"/>
                <wp:wrapNone/>
                <wp:docPr id="8" name="直线 6"/>
                <wp:cNvGraphicFramePr/>
                <a:graphic xmlns:a="http://schemas.openxmlformats.org/drawingml/2006/main">
                  <a:graphicData uri="http://schemas.microsoft.com/office/word/2010/wordprocessingShape">
                    <wps:wsp>
                      <wps:cNvCnPr/>
                      <wps:spPr>
                        <a:xfrm flipV="1">
                          <a:off x="998855" y="9033510"/>
                          <a:ext cx="5572125"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flip:y;margin-left:0.05pt;margin-top:4.95pt;height:0.75pt;width:438.75pt;z-index:251662336;mso-width-relative:page;mso-height-relative:page;" filled="f" stroked="t" coordsize="21600,21600" o:gfxdata="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GqkYbTAAAABQEAAA8AAAAAAAAAAQAgAAAAIgAAAGRycy9kb3ducmV2LnhtbFBLAQIU&#10;ABQAAAAIAIdO4kD576+Y+AEAAPMDAAAOAAAAAAAAAAEAIAAAACIBAABkcnMvZTJvRG9jLnhtbFBL&#10;BQYAAAAABgAGAFkBAACMBQAAAAA=&#10;">
                <v:fill on="f" focussize="0,0"/>
                <v:stroke color="#000000" joinstyle="round"/>
                <v:imagedata o:title=""/>
                <o:lock v:ext="edit" aspectratio="f"/>
              </v:line>
            </w:pict>
          </mc:Fallback>
        </mc:AlternateContent>
      </w:r>
      <w:r>
        <w:rPr>
          <w:rFonts w:hint="default" w:ascii="Times New Roman" w:hAnsi="Times New Roman" w:cs="Times New Roman"/>
          <w:sz w:val="28"/>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425450</wp:posOffset>
                </wp:positionV>
                <wp:extent cx="5610225" cy="635"/>
                <wp:effectExtent l="0" t="0" r="0" b="0"/>
                <wp:wrapNone/>
                <wp:docPr id="9" name="直线 4"/>
                <wp:cNvGraphicFramePr/>
                <a:graphic xmlns:a="http://schemas.openxmlformats.org/drawingml/2006/main">
                  <a:graphicData uri="http://schemas.microsoft.com/office/word/2010/wordprocessingShape">
                    <wps:wsp>
                      <wps:cNvCnPr/>
                      <wps:spPr>
                        <a:xfrm>
                          <a:off x="970280" y="9404985"/>
                          <a:ext cx="56102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15pt;margin-top:33.5pt;height:0.05pt;width:441.75pt;z-index:251661312;mso-width-relative:page;mso-height-relative:page;" filled="f" stroked="t" coordsize="21600,21600" o:gfxdata="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iCktUAAAAHAQAADwAAAAAAAAABACAAAAAiAAAAZHJzL2Rvd25yZXYueG1sUEsBAhQA&#10;FAAAAAgAh07iQC8PyOf1AQAA6AMAAA4AAAAAAAAAAQAgAAAAJAEAAGRycy9lMm9Eb2MueG1sUEsF&#10;BgAAAAAGAAYAWQEAAIs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lang w:val="en-US" w:eastAsia="zh-CN"/>
        </w:rPr>
        <w:t>乌海市国有资产监督管理委员会办公室     202</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val="en-US" w:eastAsia="zh-CN"/>
        </w:rPr>
        <w:t>年</w:t>
      </w: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lang w:val="en-US" w:eastAsia="zh-CN"/>
        </w:rPr>
        <w:t>月</w:t>
      </w:r>
      <w:r>
        <w:rPr>
          <w:rFonts w:hint="eastAsia" w:ascii="Times New Roman" w:hAnsi="Times New Roman" w:eastAsia="仿宋_GB2312" w:cs="Times New Roman"/>
          <w:sz w:val="28"/>
          <w:szCs w:val="28"/>
          <w:lang w:val="en-US" w:eastAsia="zh-CN"/>
        </w:rPr>
        <w:t>27</w:t>
      </w:r>
      <w:r>
        <w:rPr>
          <w:rFonts w:hint="default" w:ascii="Times New Roman" w:hAnsi="Times New Roman" w:eastAsia="仿宋_GB2312" w:cs="Times New Roman"/>
          <w:sz w:val="28"/>
          <w:szCs w:val="28"/>
          <w:lang w:val="en-US" w:eastAsia="zh-CN"/>
        </w:rPr>
        <w:t>日印发</w:t>
      </w:r>
    </w:p>
    <w:sectPr>
      <w:footerReference r:id="rId3" w:type="default"/>
      <w:pgSz w:w="11906" w:h="16838"/>
      <w:pgMar w:top="2098" w:right="1531" w:bottom="1871" w:left="1531"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7B691F-DC2A-472C-8C7D-446906037FA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8A2F184-3B3D-4AF0-BD23-DE18D9C1159A}"/>
  </w:font>
  <w:font w:name="仿宋_GB2312">
    <w:panose1 w:val="02010609030101010101"/>
    <w:charset w:val="86"/>
    <w:family w:val="modern"/>
    <w:pitch w:val="default"/>
    <w:sig w:usb0="00000001" w:usb1="080E0000" w:usb2="00000000" w:usb3="00000000" w:csb0="00040000" w:csb1="00000000"/>
    <w:embedRegular r:id="rId3" w:fontKey="{04DC6408-8EAB-43ED-A77B-B6FCA424D2D5}"/>
  </w:font>
  <w:font w:name="仿宋">
    <w:panose1 w:val="02010609060101010101"/>
    <w:charset w:val="86"/>
    <w:family w:val="modern"/>
    <w:pitch w:val="default"/>
    <w:sig w:usb0="800002BF" w:usb1="38CF7CFA" w:usb2="00000016" w:usb3="00000000" w:csb0="00040001" w:csb1="00000000"/>
    <w:embedRegular r:id="rId4" w:fontKey="{4676B4FD-CE95-474A-BEBC-60B935EFC873}"/>
  </w:font>
  <w:font w:name="方正小标宋简体">
    <w:panose1 w:val="03000509000000000000"/>
    <w:charset w:val="86"/>
    <w:family w:val="script"/>
    <w:pitch w:val="default"/>
    <w:sig w:usb0="00000001" w:usb1="080E0000" w:usb2="00000000" w:usb3="00000000" w:csb0="00040000" w:csb1="00000000"/>
    <w:embedRegular r:id="rId5" w:fontKey="{2E9FA14A-83DE-4252-9FF9-DAF524038DC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71525" cy="3943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71525" cy="3943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left="280" w:hanging="280" w:hanging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31.05pt;width:60.75pt;mso-position-horizontal:outside;mso-position-horizontal-relative:margin;z-index:251659264;mso-width-relative:page;mso-height-relative:page;" filled="f" stroked="f" coordsize="21600,21600" o:gfxdata="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7JedMAAAAEAQAADwAAAAAAAAABACAAAAAiAAAAZHJzL2Rvd25yZXYu&#10;eG1sUEsBAhQAFAAAAAgAh07iQBd2Gy05AgAAYQQAAA4AAAAAAAAAAQAgAAAAIgEAAGRycy9lMm9E&#10;b2MueG1sUEsFBgAAAAAGAAYAWQEAAM0FAAAAAA==&#10;">
              <v:fill on="f" focussize="0,0"/>
              <v:stroke on="f" weight="0.5pt"/>
              <v:imagedata o:title=""/>
              <o:lock v:ext="edit" aspectratio="f"/>
              <v:textbox inset="0mm,0mm,0mm,0mm">
                <w:txbxContent>
                  <w:p>
                    <w:pPr>
                      <w:pStyle w:val="8"/>
                      <w:ind w:left="280" w:hanging="280" w:hanging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NmRmZDZjMzRlYjEyMjBkNDQ2ZWVlZDkzM2U3OWIifQ=="/>
  </w:docVars>
  <w:rsids>
    <w:rsidRoot w:val="00000000"/>
    <w:rsid w:val="00583020"/>
    <w:rsid w:val="00D11D09"/>
    <w:rsid w:val="01C26439"/>
    <w:rsid w:val="01F84998"/>
    <w:rsid w:val="02762315"/>
    <w:rsid w:val="041F551E"/>
    <w:rsid w:val="04F01E3B"/>
    <w:rsid w:val="069943E0"/>
    <w:rsid w:val="0839318B"/>
    <w:rsid w:val="093A423E"/>
    <w:rsid w:val="0BD11E2A"/>
    <w:rsid w:val="0BF9405D"/>
    <w:rsid w:val="0D307DF3"/>
    <w:rsid w:val="0EA110D2"/>
    <w:rsid w:val="0EF13C13"/>
    <w:rsid w:val="118C7DF2"/>
    <w:rsid w:val="11BD5D4E"/>
    <w:rsid w:val="11F0DF98"/>
    <w:rsid w:val="122A051B"/>
    <w:rsid w:val="12892795"/>
    <w:rsid w:val="12A10FB4"/>
    <w:rsid w:val="13CA368F"/>
    <w:rsid w:val="149A3F6C"/>
    <w:rsid w:val="15646919"/>
    <w:rsid w:val="18376EC9"/>
    <w:rsid w:val="18724894"/>
    <w:rsid w:val="1BCE56DB"/>
    <w:rsid w:val="1C014FF1"/>
    <w:rsid w:val="1D9C65AC"/>
    <w:rsid w:val="1DDA3833"/>
    <w:rsid w:val="1F00057E"/>
    <w:rsid w:val="1F4F212C"/>
    <w:rsid w:val="20AD4B2D"/>
    <w:rsid w:val="23010B24"/>
    <w:rsid w:val="2345720F"/>
    <w:rsid w:val="25713D78"/>
    <w:rsid w:val="262545D6"/>
    <w:rsid w:val="277D3FBB"/>
    <w:rsid w:val="29645621"/>
    <w:rsid w:val="2C1B0318"/>
    <w:rsid w:val="2C265383"/>
    <w:rsid w:val="2C4D711F"/>
    <w:rsid w:val="31933A3B"/>
    <w:rsid w:val="33185FE3"/>
    <w:rsid w:val="333B31F1"/>
    <w:rsid w:val="33B66E03"/>
    <w:rsid w:val="34B63821"/>
    <w:rsid w:val="378C522F"/>
    <w:rsid w:val="382E3860"/>
    <w:rsid w:val="39514A69"/>
    <w:rsid w:val="39BC5B07"/>
    <w:rsid w:val="39D16459"/>
    <w:rsid w:val="3BAF684D"/>
    <w:rsid w:val="3D9134F2"/>
    <w:rsid w:val="3F6031EC"/>
    <w:rsid w:val="3F9F97AC"/>
    <w:rsid w:val="4180458A"/>
    <w:rsid w:val="418C16C9"/>
    <w:rsid w:val="422307A7"/>
    <w:rsid w:val="430861D7"/>
    <w:rsid w:val="43FE4A9D"/>
    <w:rsid w:val="46111ECF"/>
    <w:rsid w:val="485A17C4"/>
    <w:rsid w:val="49271495"/>
    <w:rsid w:val="4A9B320A"/>
    <w:rsid w:val="4AE732DC"/>
    <w:rsid w:val="4C95728B"/>
    <w:rsid w:val="4D5D362A"/>
    <w:rsid w:val="50217A6B"/>
    <w:rsid w:val="507B0740"/>
    <w:rsid w:val="5330000D"/>
    <w:rsid w:val="54DF6509"/>
    <w:rsid w:val="553375FC"/>
    <w:rsid w:val="5547573C"/>
    <w:rsid w:val="56B34A1D"/>
    <w:rsid w:val="58376E29"/>
    <w:rsid w:val="5A3910E3"/>
    <w:rsid w:val="5AA33600"/>
    <w:rsid w:val="5ABD033C"/>
    <w:rsid w:val="5B1A316C"/>
    <w:rsid w:val="5B9F9A23"/>
    <w:rsid w:val="5F05734A"/>
    <w:rsid w:val="5F641AAD"/>
    <w:rsid w:val="5F7F0594"/>
    <w:rsid w:val="5FB65D9B"/>
    <w:rsid w:val="62BF54A8"/>
    <w:rsid w:val="651547AC"/>
    <w:rsid w:val="68554EB5"/>
    <w:rsid w:val="68E85E7D"/>
    <w:rsid w:val="6974276D"/>
    <w:rsid w:val="6A654A36"/>
    <w:rsid w:val="6C814E97"/>
    <w:rsid w:val="6D8A2ED6"/>
    <w:rsid w:val="6E7E26A1"/>
    <w:rsid w:val="6EFF8C0C"/>
    <w:rsid w:val="6F01E912"/>
    <w:rsid w:val="6FBD80C5"/>
    <w:rsid w:val="70E147B6"/>
    <w:rsid w:val="70E838CD"/>
    <w:rsid w:val="73D23BB7"/>
    <w:rsid w:val="74A3456F"/>
    <w:rsid w:val="74D516B9"/>
    <w:rsid w:val="765D0DC9"/>
    <w:rsid w:val="76F1194F"/>
    <w:rsid w:val="7770789A"/>
    <w:rsid w:val="7A5813D5"/>
    <w:rsid w:val="7AAB6A29"/>
    <w:rsid w:val="7B892BA7"/>
    <w:rsid w:val="7BB451E2"/>
    <w:rsid w:val="7D42499D"/>
    <w:rsid w:val="7DF96D7D"/>
    <w:rsid w:val="7EB82E00"/>
    <w:rsid w:val="7FB47069"/>
    <w:rsid w:val="B9F26088"/>
    <w:rsid w:val="DCBE46F0"/>
    <w:rsid w:val="FD697142"/>
    <w:rsid w:val="FE6F7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customStyle="1" w:styleId="2">
    <w:name w:val="正文首行缩进 21"/>
    <w:basedOn w:val="3"/>
    <w:autoRedefine/>
    <w:qFormat/>
    <w:uiPriority w:val="0"/>
    <w:pPr>
      <w:ind w:firstLine="420" w:firstLineChars="200"/>
    </w:pPr>
    <w:rPr>
      <w:rFonts w:ascii="Times New Roman" w:hAnsi="Times New Roman" w:eastAsia="宋体" w:cs="Times New Roman"/>
    </w:rPr>
  </w:style>
  <w:style w:type="paragraph" w:customStyle="1" w:styleId="3">
    <w:name w:val="正文文本缩进1"/>
    <w:basedOn w:val="1"/>
    <w:autoRedefine/>
    <w:qFormat/>
    <w:uiPriority w:val="0"/>
    <w:pPr>
      <w:spacing w:after="120" w:afterAutospacing="0"/>
      <w:ind w:left="420" w:leftChars="200"/>
    </w:pPr>
  </w:style>
  <w:style w:type="paragraph" w:styleId="4">
    <w:name w:val="index 5"/>
    <w:basedOn w:val="1"/>
    <w:next w:val="1"/>
    <w:autoRedefine/>
    <w:qFormat/>
    <w:uiPriority w:val="0"/>
    <w:pPr>
      <w:ind w:left="1680"/>
    </w:pPr>
    <w:rPr>
      <w:sz w:val="32"/>
      <w:szCs w:val="32"/>
    </w:rPr>
  </w:style>
  <w:style w:type="paragraph" w:styleId="5">
    <w:name w:val="Body Text"/>
    <w:basedOn w:val="1"/>
    <w:next w:val="1"/>
    <w:autoRedefine/>
    <w:qFormat/>
    <w:uiPriority w:val="1"/>
    <w:pPr>
      <w:ind w:left="101"/>
    </w:pPr>
    <w:rPr>
      <w:sz w:val="32"/>
      <w:szCs w:val="32"/>
    </w:rPr>
  </w:style>
  <w:style w:type="paragraph" w:styleId="6">
    <w:name w:val="Body Text Indent"/>
    <w:basedOn w:val="1"/>
    <w:next w:val="1"/>
    <w:autoRedefine/>
    <w:qFormat/>
    <w:uiPriority w:val="99"/>
    <w:pPr>
      <w:spacing w:after="120"/>
      <w:ind w:left="420" w:leftChars="200"/>
    </w:pPr>
  </w:style>
  <w:style w:type="paragraph" w:styleId="7">
    <w:name w:val="Plain Text"/>
    <w:basedOn w:val="1"/>
    <w:autoRedefine/>
    <w:qFormat/>
    <w:uiPriority w:val="0"/>
    <w:rPr>
      <w:rFonts w:ascii="宋体" w:hAnsi="Courier New" w:cs="Courier New"/>
      <w:szCs w:val="21"/>
    </w:rPr>
  </w:style>
  <w:style w:type="paragraph" w:styleId="8">
    <w:name w:val="footer"/>
    <w:basedOn w:val="1"/>
    <w:autoRedefine/>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autoRedefine/>
    <w:qFormat/>
    <w:uiPriority w:val="0"/>
  </w:style>
  <w:style w:type="paragraph" w:styleId="11">
    <w:name w:val="toc 2"/>
    <w:basedOn w:val="1"/>
    <w:next w:val="1"/>
    <w:autoRedefine/>
    <w:qFormat/>
    <w:uiPriority w:val="0"/>
    <w:pPr>
      <w:ind w:left="420"/>
      <w:jc w:val="center"/>
    </w:pPr>
    <w:rPr>
      <w:rFonts w:ascii="黑体" w:eastAsia="黑体"/>
      <w:sz w:val="32"/>
      <w:szCs w:val="32"/>
    </w:rPr>
  </w:style>
  <w:style w:type="paragraph" w:styleId="12">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4">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styleId="15">
    <w:name w:val="Body Text First Indent 2"/>
    <w:basedOn w:val="6"/>
    <w:autoRedefine/>
    <w:qFormat/>
    <w:uiPriority w:val="0"/>
    <w:pPr>
      <w:ind w:firstLine="420" w:firstLineChars="200"/>
    </w:pPr>
  </w:style>
  <w:style w:type="paragraph" w:customStyle="1" w:styleId="18">
    <w:name w:val="Default"/>
    <w:autoRedefine/>
    <w:qFormat/>
    <w:uiPriority w:val="0"/>
    <w:pPr>
      <w:autoSpaceDE w:val="0"/>
      <w:autoSpaceDN w:val="0"/>
    </w:pPr>
    <w:rPr>
      <w:rFonts w:ascii="Times New Roman" w:hAnsi="Times New Roman" w:eastAsia="宋体" w:cs="Times New Roman"/>
      <w:color w:val="000000"/>
      <w:sz w:val="24"/>
      <w:szCs w:val="24"/>
      <w:lang w:val="en-US" w:eastAsia="zh-CN" w:bidi="ar-SA"/>
    </w:rPr>
  </w:style>
  <w:style w:type="paragraph" w:customStyle="1" w:styleId="19">
    <w:name w:val="样式1"/>
    <w:basedOn w:val="10"/>
    <w:autoRedefine/>
    <w:qFormat/>
    <w:uiPriority w:val="0"/>
    <w:rPr>
      <w:rFonts w:ascii="Calibri" w:hAnsi="Calibri" w:eastAsia="仿宋" w:cs="Times New Roman"/>
      <w:kern w:val="0"/>
      <w:sz w:val="24"/>
      <w:szCs w:val="22"/>
    </w:rPr>
  </w:style>
  <w:style w:type="paragraph" w:customStyle="1" w:styleId="20">
    <w:name w:val="Body text|1"/>
    <w:basedOn w:val="1"/>
    <w:autoRedefine/>
    <w:qFormat/>
    <w:uiPriority w:val="0"/>
    <w:pPr>
      <w:widowControl w:val="0"/>
      <w:shd w:val="clear" w:color="auto" w:fill="auto"/>
      <w:spacing w:line="434" w:lineRule="auto"/>
      <w:ind w:firstLine="400"/>
    </w:pPr>
    <w:rPr>
      <w:rFonts w:ascii="宋体" w:hAnsi="宋体" w:eastAsia="宋体" w:cs="宋体"/>
      <w:sz w:val="30"/>
      <w:szCs w:val="30"/>
      <w:u w:val="none"/>
      <w:shd w:val="clear" w:color="auto" w:fill="auto"/>
      <w:lang w:val="zh-TW" w:eastAsia="zh-TW" w:bidi="zh-TW"/>
    </w:rPr>
  </w:style>
  <w:style w:type="paragraph" w:customStyle="1" w:styleId="21">
    <w:name w:val="样式 样式 样式3（代正文） + 首行缩进:  2 字符 + 首行缩进:  2 字符"/>
    <w:basedOn w:val="22"/>
    <w:autoRedefine/>
    <w:qFormat/>
    <w:uiPriority w:val="0"/>
    <w:pPr>
      <w:autoSpaceDE w:val="0"/>
      <w:ind w:firstLine="560"/>
    </w:pPr>
    <w:rPr>
      <w:rFonts w:ascii="Calibri" w:hAnsi="Calibri" w:eastAsia="宋体" w:cs="Times New Roman"/>
      <w:sz w:val="21"/>
      <w:szCs w:val="22"/>
      <w:lang w:val="en-US" w:eastAsia="zh-CN" w:bidi="ar-SA"/>
    </w:rPr>
  </w:style>
  <w:style w:type="paragraph" w:customStyle="1" w:styleId="22">
    <w:name w:val="样式 样式3（代正文） + 首行缩进:  2 字符"/>
    <w:basedOn w:val="23"/>
    <w:autoRedefine/>
    <w:qFormat/>
    <w:uiPriority w:val="0"/>
    <w:pPr>
      <w:wordWrap w:val="0"/>
    </w:pPr>
    <w:rPr>
      <w:rFonts w:cs="宋体"/>
      <w:snapToGrid/>
      <w:kern w:val="0"/>
      <w:szCs w:val="28"/>
    </w:rPr>
  </w:style>
  <w:style w:type="paragraph" w:customStyle="1" w:styleId="23">
    <w:name w:val="样式3（代正文）"/>
    <w:autoRedefine/>
    <w:qFormat/>
    <w:uiPriority w:val="0"/>
    <w:pPr>
      <w:spacing w:line="600" w:lineRule="exact"/>
      <w:ind w:firstLine="200" w:firstLineChars="200"/>
    </w:pPr>
    <w:rPr>
      <w:rFonts w:ascii="Calibri" w:hAnsi="Calibri" w:eastAsia="宋体" w:cs="Times New Roman"/>
      <w:sz w:val="28"/>
      <w:szCs w:val="22"/>
      <w:lang w:val="en-US" w:eastAsia="zh-CN" w:bidi="ar-SA"/>
    </w:rPr>
  </w:style>
  <w:style w:type="paragraph" w:customStyle="1" w:styleId="24">
    <w:name w:val="周报正文"/>
    <w:basedOn w:val="1"/>
    <w:autoRedefine/>
    <w:qFormat/>
    <w:uiPriority w:val="0"/>
    <w:pPr>
      <w:spacing w:line="360" w:lineRule="auto"/>
      <w:ind w:firstLine="560" w:firstLineChars="200"/>
    </w:pPr>
    <w:rPr>
      <w:sz w:val="28"/>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2494</Words>
  <Characters>2835</Characters>
  <Lines>0</Lines>
  <Paragraphs>0</Paragraphs>
  <TotalTime>0</TotalTime>
  <ScaleCrop>false</ScaleCrop>
  <LinksUpToDate>false</LinksUpToDate>
  <CharactersWithSpaces>2918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2014-11-01T20:08:00Z</dcterms:created>
  <dc:creator>Administrator</dc:creator>
  <cp:lastModifiedBy>。  糖豆</cp:lastModifiedBy>
  <cp:lastPrinted>2024-02-27T09:20:00Z</cp:lastPrinted>
  <dcterms:modified xsi:type="dcterms:W3CDTF">2024-02-28T01:55:27Z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CD39A7C40DA444519009720C59EE4CF2_13</vt:lpwstr>
  </property>
</Properties>
</file>