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05DD"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各区人民政府，市直各部门单位，各企事业单位：</w:t>
      </w:r>
    </w:p>
    <w:p w14:paraId="2FCFB8A4"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《乌海市促进服务业高质量发展三年攻坚行动实施方案》已经市人民政府同意，现印发给你们，请结合实际，认真贯彻落实。</w:t>
      </w:r>
    </w:p>
    <w:p w14:paraId="4EEB3EBF"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w:t>
      </w:r>
    </w:p>
    <w:p w14:paraId="31D3170E" w14:textId="77777777" w:rsidR="006A20A3" w:rsidRPr="006A20A3" w:rsidRDefault="006A20A3" w:rsidP="006A20A3">
      <w:pPr>
        <w:rPr>
          <w:rFonts w:ascii="仿宋_GB2312" w:eastAsia="仿宋_GB2312" w:hint="eastAsia"/>
          <w:b/>
          <w:bCs/>
          <w:sz w:val="32"/>
          <w:szCs w:val="32"/>
        </w:rPr>
      </w:pP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2025年5月31日</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r w:rsidRPr="006A20A3">
        <w:rPr>
          <w:rFonts w:ascii="仿宋_GB2312" w:eastAsia="仿宋_GB2312" w:hint="eastAsia"/>
          <w:b/>
          <w:bCs/>
          <w:sz w:val="32"/>
          <w:szCs w:val="32"/>
        </w:rPr>
        <w:t xml:space="preserve"> </w:t>
      </w:r>
      <w:r w:rsidRPr="006A20A3">
        <w:rPr>
          <w:rFonts w:ascii="仿宋_GB2312" w:eastAsia="仿宋_GB2312" w:hint="eastAsia"/>
          <w:b/>
          <w:bCs/>
          <w:sz w:val="32"/>
          <w:szCs w:val="32"/>
        </w:rPr>
        <w:t>  </w:t>
      </w:r>
    </w:p>
    <w:p w14:paraId="0A283C9F"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w:t>
      </w:r>
      <w:r w:rsidRPr="006A20A3">
        <w:rPr>
          <w:rFonts w:ascii="仿宋_GB2312" w:eastAsia="仿宋_GB2312" w:hint="eastAsia"/>
          <w:sz w:val="32"/>
          <w:szCs w:val="32"/>
        </w:rPr>
        <w:t>    </w:t>
      </w:r>
      <w:r w:rsidRPr="006A20A3">
        <w:rPr>
          <w:rFonts w:ascii="仿宋_GB2312" w:eastAsia="仿宋_GB2312" w:hint="eastAsia"/>
          <w:sz w:val="32"/>
          <w:szCs w:val="32"/>
        </w:rPr>
        <w:t>（此件删减后公开）</w:t>
      </w:r>
      <w:r w:rsidRPr="006A20A3">
        <w:rPr>
          <w:rFonts w:ascii="仿宋_GB2312" w:eastAsia="仿宋_GB2312" w:hint="eastAsia"/>
          <w:sz w:val="32"/>
          <w:szCs w:val="32"/>
        </w:rPr>
        <w:t>      </w:t>
      </w:r>
    </w:p>
    <w:p w14:paraId="44AA4CA5"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w:t>
      </w:r>
    </w:p>
    <w:p w14:paraId="544B2836"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w:t>
      </w:r>
    </w:p>
    <w:p w14:paraId="5169D53D" w14:textId="77777777" w:rsidR="006A20A3" w:rsidRDefault="006A20A3" w:rsidP="006A20A3">
      <w:pPr>
        <w:jc w:val="center"/>
        <w:rPr>
          <w:rFonts w:ascii="方正小标宋_GBK" w:eastAsia="方正小标宋_GBK"/>
          <w:sz w:val="44"/>
          <w:szCs w:val="44"/>
        </w:rPr>
      </w:pPr>
      <w:r w:rsidRPr="006A20A3">
        <w:rPr>
          <w:rFonts w:ascii="方正小标宋_GBK" w:eastAsia="方正小标宋_GBK" w:hint="eastAsia"/>
          <w:sz w:val="44"/>
          <w:szCs w:val="44"/>
        </w:rPr>
        <w:t>乌海市促进服务业高质量发展三年攻坚</w:t>
      </w:r>
    </w:p>
    <w:p w14:paraId="1393F1F3" w14:textId="16302E38" w:rsidR="006A20A3" w:rsidRPr="006A20A3" w:rsidRDefault="006A20A3" w:rsidP="006A20A3">
      <w:pPr>
        <w:jc w:val="center"/>
        <w:rPr>
          <w:rFonts w:ascii="方正小标宋_GBK" w:eastAsia="方正小标宋_GBK" w:hint="eastAsia"/>
          <w:sz w:val="44"/>
          <w:szCs w:val="44"/>
        </w:rPr>
      </w:pPr>
      <w:r w:rsidRPr="006A20A3">
        <w:rPr>
          <w:rFonts w:ascii="方正小标宋_GBK" w:eastAsia="方正小标宋_GBK" w:hint="eastAsia"/>
          <w:sz w:val="44"/>
          <w:szCs w:val="44"/>
        </w:rPr>
        <w:t>行动实施方案</w:t>
      </w:r>
    </w:p>
    <w:p w14:paraId="2DB5C607"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w:t>
      </w:r>
    </w:p>
    <w:p w14:paraId="317AD0B6"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为推动全市服务业转型突破、提质增效，加快补齐服务业发展短板，实现服务业高质量发展，制定如下实施方案。</w:t>
      </w:r>
    </w:p>
    <w:p w14:paraId="4FA5AB9C"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一、总体要求及目标</w:t>
      </w:r>
    </w:p>
    <w:p w14:paraId="21B5632E"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以习近平新时代中国特色社会主义思想为指导，深入贯彻党的二十大及二十届二中、三中全会精神，认真落</w:t>
      </w:r>
      <w:proofErr w:type="gramStart"/>
      <w:r w:rsidRPr="006A20A3">
        <w:rPr>
          <w:rFonts w:ascii="仿宋_GB2312" w:eastAsia="仿宋_GB2312" w:hint="eastAsia"/>
          <w:sz w:val="32"/>
          <w:szCs w:val="32"/>
        </w:rPr>
        <w:t>实习近</w:t>
      </w:r>
      <w:proofErr w:type="gramEnd"/>
      <w:r w:rsidRPr="006A20A3">
        <w:rPr>
          <w:rFonts w:ascii="仿宋_GB2312" w:eastAsia="仿宋_GB2312" w:hint="eastAsia"/>
          <w:sz w:val="32"/>
          <w:szCs w:val="32"/>
        </w:rPr>
        <w:t>平总书记对内蒙古的重要指示精神，完整、准确、全</w:t>
      </w:r>
      <w:r w:rsidRPr="006A20A3">
        <w:rPr>
          <w:rFonts w:ascii="仿宋_GB2312" w:eastAsia="仿宋_GB2312" w:hint="eastAsia"/>
          <w:sz w:val="32"/>
          <w:szCs w:val="32"/>
        </w:rPr>
        <w:lastRenderedPageBreak/>
        <w:t>面贯彻新发展理念，紧紧围绕铸牢中华民族共同体意识工作主线，以高质量发展为主题，加速构建优质高效的服务业发展新体系。聚焦服务业重点领域和发展短板，鼓励支持发展新兴服务业态，推动生产性服务业向专业化和价值链高端延伸、生活性服务业向精细化和高品质转变，实现服务业提质增效。到2027年，全市服务业增加值达到344亿元以上、年均增长6%以上；规模（限额）以上服务业企业数量达到150家以上、年均增加10家以上；服务业重点项目数量占全市重点项目数量比重突破30%，服务业完成税收占全市税收收入比重逐年提高，到2027年突破35%，服务业对经济增长的贡献率显著提升。</w:t>
      </w:r>
    </w:p>
    <w:p w14:paraId="46AA9794"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二、重点任务</w:t>
      </w:r>
    </w:p>
    <w:p w14:paraId="1985E7A1"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（一）物流业。以如意俊安</w:t>
      </w:r>
      <w:proofErr w:type="gramStart"/>
      <w:r w:rsidRPr="006A20A3">
        <w:rPr>
          <w:rFonts w:ascii="仿宋_GB2312" w:eastAsia="仿宋_GB2312" w:hint="eastAsia"/>
          <w:sz w:val="32"/>
          <w:szCs w:val="32"/>
        </w:rPr>
        <w:t>物流园获</w:t>
      </w:r>
      <w:proofErr w:type="gramEnd"/>
      <w:r w:rsidRPr="006A20A3">
        <w:rPr>
          <w:rFonts w:ascii="仿宋_GB2312" w:eastAsia="仿宋_GB2312" w:hint="eastAsia"/>
          <w:sz w:val="32"/>
          <w:szCs w:val="32"/>
        </w:rPr>
        <w:t>批自治区级物流枢纽为契机，加强向上对接协调，在国家“十五五”时期动态调整物流枢纽承载城市布局中，力争将乌海市打造为生产服务型国家物流枢纽承载城市。进一步增强如意俊安</w:t>
      </w:r>
      <w:proofErr w:type="gramStart"/>
      <w:r w:rsidRPr="006A20A3">
        <w:rPr>
          <w:rFonts w:ascii="仿宋_GB2312" w:eastAsia="仿宋_GB2312" w:hint="eastAsia"/>
          <w:sz w:val="32"/>
          <w:szCs w:val="32"/>
        </w:rPr>
        <w:t>物流园</w:t>
      </w:r>
      <w:proofErr w:type="gramEnd"/>
      <w:r w:rsidRPr="006A20A3">
        <w:rPr>
          <w:rFonts w:ascii="仿宋_GB2312" w:eastAsia="仿宋_GB2312" w:hint="eastAsia"/>
          <w:sz w:val="32"/>
          <w:szCs w:val="32"/>
        </w:rPr>
        <w:t>在干线通道上货物集结、产品加工等方面的节点作用，提升</w:t>
      </w:r>
      <w:proofErr w:type="gramStart"/>
      <w:r w:rsidRPr="006A20A3">
        <w:rPr>
          <w:rFonts w:ascii="仿宋_GB2312" w:eastAsia="仿宋_GB2312" w:hint="eastAsia"/>
          <w:sz w:val="32"/>
          <w:szCs w:val="32"/>
        </w:rPr>
        <w:t>完善蒙煤</w:t>
      </w:r>
      <w:proofErr w:type="gramEnd"/>
      <w:r w:rsidRPr="006A20A3">
        <w:rPr>
          <w:rFonts w:ascii="仿宋_GB2312" w:eastAsia="仿宋_GB2312" w:hint="eastAsia"/>
          <w:sz w:val="32"/>
          <w:szCs w:val="32"/>
        </w:rPr>
        <w:t>和</w:t>
      </w:r>
      <w:proofErr w:type="gramStart"/>
      <w:r w:rsidRPr="006A20A3">
        <w:rPr>
          <w:rFonts w:ascii="仿宋_GB2312" w:eastAsia="仿宋_GB2312" w:hint="eastAsia"/>
          <w:sz w:val="32"/>
          <w:szCs w:val="32"/>
        </w:rPr>
        <w:t>疆煤</w:t>
      </w:r>
      <w:proofErr w:type="gramEnd"/>
      <w:r w:rsidRPr="006A20A3">
        <w:rPr>
          <w:rFonts w:ascii="仿宋_GB2312" w:eastAsia="仿宋_GB2312" w:hint="eastAsia"/>
          <w:sz w:val="32"/>
          <w:szCs w:val="32"/>
        </w:rPr>
        <w:t>的集散、仓储和分拨功能，丰富物流仓储、分拣配送、交易展示和第三方物流等服务功能，2027年底前园区货物发运量力争突破500万吨，为“十五五”时期申报国家物流枢纽经济示范区奠定坚实基础。有效降低社会物流成本，加速双挂汽车列车、L4级自动驾驶</w:t>
      </w:r>
      <w:r w:rsidRPr="006A20A3">
        <w:rPr>
          <w:rFonts w:ascii="仿宋_GB2312" w:eastAsia="仿宋_GB2312" w:hint="eastAsia"/>
          <w:sz w:val="32"/>
          <w:szCs w:val="32"/>
        </w:rPr>
        <w:lastRenderedPageBreak/>
        <w:t>货运等交通运输场景示范应用，推进网络货运健康发展，2025年底前3A级以上物流企业达到3家。持续推进“数字陆港+新能源+集装箱”运输模式，2026年底前3A级以上物流企业达到5家。加快“公转铁”、“散改集”、“油改电”步伐，2027年底前铁路货运量占货运总量比重达到25%以上，营业收入亿元以上交通运输企业达到10户。开工建设乌海经济开发区低碳产业园铁路专用线项目，2027年底前新增运力700万吨/年。加快推动</w:t>
      </w:r>
      <w:proofErr w:type="gramStart"/>
      <w:r w:rsidRPr="006A20A3">
        <w:rPr>
          <w:rFonts w:ascii="仿宋_GB2312" w:eastAsia="仿宋_GB2312" w:hint="eastAsia"/>
          <w:sz w:val="32"/>
          <w:szCs w:val="32"/>
        </w:rPr>
        <w:t>蒙煤交易</w:t>
      </w:r>
      <w:proofErr w:type="gramEnd"/>
      <w:r w:rsidRPr="006A20A3">
        <w:rPr>
          <w:rFonts w:ascii="仿宋_GB2312" w:eastAsia="仿宋_GB2312" w:hint="eastAsia"/>
          <w:sz w:val="32"/>
          <w:szCs w:val="32"/>
        </w:rPr>
        <w:t>中心建设，力争2025年底前具备基本运营条件，</w:t>
      </w:r>
      <w:proofErr w:type="gramStart"/>
      <w:r w:rsidRPr="006A20A3">
        <w:rPr>
          <w:rFonts w:ascii="仿宋_GB2312" w:eastAsia="仿宋_GB2312" w:hint="eastAsia"/>
          <w:sz w:val="32"/>
          <w:szCs w:val="32"/>
        </w:rPr>
        <w:t>2025年蒙煤引入</w:t>
      </w:r>
      <w:proofErr w:type="gramEnd"/>
      <w:r w:rsidRPr="006A20A3">
        <w:rPr>
          <w:rFonts w:ascii="仿宋_GB2312" w:eastAsia="仿宋_GB2312" w:hint="eastAsia"/>
          <w:sz w:val="32"/>
          <w:szCs w:val="32"/>
        </w:rPr>
        <w:t>量力争达到100万吨。完善城市末端智能配送设施，2027年底前末端网点数量达到210个，智能</w:t>
      </w:r>
      <w:proofErr w:type="gramStart"/>
      <w:r w:rsidRPr="006A20A3">
        <w:rPr>
          <w:rFonts w:ascii="仿宋_GB2312" w:eastAsia="仿宋_GB2312" w:hint="eastAsia"/>
          <w:sz w:val="32"/>
          <w:szCs w:val="32"/>
        </w:rPr>
        <w:t>快件箱格口</w:t>
      </w:r>
      <w:proofErr w:type="gramEnd"/>
      <w:r w:rsidRPr="006A20A3">
        <w:rPr>
          <w:rFonts w:ascii="仿宋_GB2312" w:eastAsia="仿宋_GB2312" w:hint="eastAsia"/>
          <w:sz w:val="32"/>
          <w:szCs w:val="32"/>
        </w:rPr>
        <w:t>数达到3.3万个。提高物流业服务实体经济效能，2025—2027年每年新增入库</w:t>
      </w:r>
      <w:proofErr w:type="gramStart"/>
      <w:r w:rsidRPr="006A20A3">
        <w:rPr>
          <w:rFonts w:ascii="仿宋_GB2312" w:eastAsia="仿宋_GB2312" w:hint="eastAsia"/>
          <w:sz w:val="32"/>
          <w:szCs w:val="32"/>
        </w:rPr>
        <w:t>规</w:t>
      </w:r>
      <w:proofErr w:type="gramEnd"/>
      <w:r w:rsidRPr="006A20A3">
        <w:rPr>
          <w:rFonts w:ascii="仿宋_GB2312" w:eastAsia="仿宋_GB2312" w:hint="eastAsia"/>
          <w:sz w:val="32"/>
          <w:szCs w:val="32"/>
        </w:rPr>
        <w:t>上道路运输企业2家，2027年底前交通运输、仓储和邮政业增加值占GDP比重力争达到18%以上，物流业服务实体经济能力进一步提升。</w:t>
      </w:r>
    </w:p>
    <w:p w14:paraId="4113BD51"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（二）商贸流通业。加快构建差异化、特色化、便利</w:t>
      </w:r>
      <w:proofErr w:type="gramStart"/>
      <w:r w:rsidRPr="006A20A3">
        <w:rPr>
          <w:rFonts w:ascii="仿宋_GB2312" w:eastAsia="仿宋_GB2312" w:hint="eastAsia"/>
          <w:sz w:val="32"/>
          <w:szCs w:val="32"/>
        </w:rPr>
        <w:t>化现代</w:t>
      </w:r>
      <w:proofErr w:type="gramEnd"/>
      <w:r w:rsidRPr="006A20A3">
        <w:rPr>
          <w:rFonts w:ascii="仿宋_GB2312" w:eastAsia="仿宋_GB2312" w:hint="eastAsia"/>
          <w:sz w:val="32"/>
          <w:szCs w:val="32"/>
        </w:rPr>
        <w:t>商贸服务体系，加快零售业创新，发展“小专精”的精品店、仓储会员店等，更好满足群众个性化、多样化、品质</w:t>
      </w:r>
      <w:proofErr w:type="gramStart"/>
      <w:r w:rsidRPr="006A20A3">
        <w:rPr>
          <w:rFonts w:ascii="仿宋_GB2312" w:eastAsia="仿宋_GB2312" w:hint="eastAsia"/>
          <w:sz w:val="32"/>
          <w:szCs w:val="32"/>
        </w:rPr>
        <w:t>化消费</w:t>
      </w:r>
      <w:proofErr w:type="gramEnd"/>
      <w:r w:rsidRPr="006A20A3">
        <w:rPr>
          <w:rFonts w:ascii="仿宋_GB2312" w:eastAsia="仿宋_GB2312" w:hint="eastAsia"/>
          <w:sz w:val="32"/>
          <w:szCs w:val="32"/>
        </w:rPr>
        <w:t>需求。围绕汽车、家电、家居等领域，用足用好消费品以旧换新政策利好。培育一批主业突出、核心竞争力强、有行业带动作用的商贸流通龙头企业。引导和支持规模较大的商贸企业申报限额以上商贸企业或规模以上</w:t>
      </w:r>
      <w:r w:rsidRPr="006A20A3">
        <w:rPr>
          <w:rFonts w:ascii="仿宋_GB2312" w:eastAsia="仿宋_GB2312" w:hint="eastAsia"/>
          <w:sz w:val="32"/>
          <w:szCs w:val="32"/>
        </w:rPr>
        <w:lastRenderedPageBreak/>
        <w:t>服务业企业。2025—2027年通过“查账征收、定额核定”等方式，每年推动20家营业收入达到200万元的住宿餐饮企业、批发业销售额（零售）达到2000万元、零售业销售额（零售）达到500万元企业升</w:t>
      </w:r>
      <w:proofErr w:type="gramStart"/>
      <w:r w:rsidRPr="006A20A3">
        <w:rPr>
          <w:rFonts w:ascii="仿宋_GB2312" w:eastAsia="仿宋_GB2312" w:hint="eastAsia"/>
          <w:sz w:val="32"/>
          <w:szCs w:val="32"/>
        </w:rPr>
        <w:t>规</w:t>
      </w:r>
      <w:proofErr w:type="gramEnd"/>
      <w:r w:rsidRPr="006A20A3">
        <w:rPr>
          <w:rFonts w:ascii="仿宋_GB2312" w:eastAsia="仿宋_GB2312" w:hint="eastAsia"/>
          <w:sz w:val="32"/>
          <w:szCs w:val="32"/>
        </w:rPr>
        <w:t>纳统。联合重点商圈、商业综合体、商贸企业开展商贸促销活动。按照“问需于民、问计于民、一圈</w:t>
      </w:r>
      <w:proofErr w:type="gramStart"/>
      <w:r w:rsidRPr="006A20A3">
        <w:rPr>
          <w:rFonts w:ascii="仿宋_GB2312" w:eastAsia="仿宋_GB2312" w:hint="eastAsia"/>
          <w:sz w:val="32"/>
          <w:szCs w:val="32"/>
        </w:rPr>
        <w:t>一</w:t>
      </w:r>
      <w:proofErr w:type="gramEnd"/>
      <w:r w:rsidRPr="006A20A3">
        <w:rPr>
          <w:rFonts w:ascii="仿宋_GB2312" w:eastAsia="仿宋_GB2312" w:hint="eastAsia"/>
          <w:sz w:val="32"/>
          <w:szCs w:val="32"/>
        </w:rPr>
        <w:t>策”的原则，整合各类资源向社区生活圈建设试点下沉，提升生活圈品质，高标准完成城市一刻钟便民生活圈全域推进先行区试点工作，到2025年底前“品质型”城区生活圈及“基础型”农区生活</w:t>
      </w:r>
      <w:proofErr w:type="gramStart"/>
      <w:r w:rsidRPr="006A20A3">
        <w:rPr>
          <w:rFonts w:ascii="仿宋_GB2312" w:eastAsia="仿宋_GB2312" w:hint="eastAsia"/>
          <w:sz w:val="32"/>
          <w:szCs w:val="32"/>
        </w:rPr>
        <w:t>圈达成率</w:t>
      </w:r>
      <w:proofErr w:type="gramEnd"/>
      <w:r w:rsidRPr="006A20A3">
        <w:rPr>
          <w:rFonts w:ascii="仿宋_GB2312" w:eastAsia="仿宋_GB2312" w:hint="eastAsia"/>
          <w:sz w:val="32"/>
          <w:szCs w:val="32"/>
        </w:rPr>
        <w:t>达到70%。推动电商与快递融合发展，助力本地传统企业开展电商化改造，有效提高综合服务能力和运营能力，实现网络零售额有效提升。2025年底前快递服务电商业务量力争达到110万件，2026年底前力争达到121万件，2027年底前力争达到133万件。将建设国家向北开放重要桥头堡与落实“自治区自贸区创建工程”统筹起来，提升外贸综合服务能力，支持企业开拓国际市场，促进对外贸易提质增效。组织企业</w:t>
      </w:r>
      <w:proofErr w:type="gramStart"/>
      <w:r w:rsidRPr="006A20A3">
        <w:rPr>
          <w:rFonts w:ascii="仿宋_GB2312" w:eastAsia="仿宋_GB2312" w:hint="eastAsia"/>
          <w:sz w:val="32"/>
          <w:szCs w:val="32"/>
        </w:rPr>
        <w:t>参加进博会</w:t>
      </w:r>
      <w:proofErr w:type="gramEnd"/>
      <w:r w:rsidRPr="006A20A3">
        <w:rPr>
          <w:rFonts w:ascii="仿宋_GB2312" w:eastAsia="仿宋_GB2312" w:hint="eastAsia"/>
          <w:sz w:val="32"/>
          <w:szCs w:val="32"/>
        </w:rPr>
        <w:t>、广交会、蒙古国商品展、印尼化工展等境内外展会，依托中国国际化工展筹办乌海特装展，组织BDO、有机硅、农药和医药中间体等企业参加，支持企业开拓国际市场，推动与RCEP、“一带一路”沿线国家和地区贸易额增长。2027年底前全市社会消费品零售总额突破123亿元，平均增速与自治区持平，外贸进出口总</w:t>
      </w:r>
      <w:r w:rsidRPr="006A20A3">
        <w:rPr>
          <w:rFonts w:ascii="仿宋_GB2312" w:eastAsia="仿宋_GB2312" w:hint="eastAsia"/>
          <w:sz w:val="32"/>
          <w:szCs w:val="32"/>
        </w:rPr>
        <w:lastRenderedPageBreak/>
        <w:t>额突破13.6亿元。</w:t>
      </w:r>
    </w:p>
    <w:p w14:paraId="2D529E40"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三）文化旅游业。聚焦北疆文化建设提升行动、“歌游内蒙古”品牌打造，组织开展歌曲、舞蹈、器乐、书法、美术等各类文艺作品创作征集，举办演出、展览等活动。以“北疆文化神州行”活动为载体，通过“请进来”与“走出去”相结合的方式，开展对外文化交流，以优秀文艺作品展现乌海风貌，传递乌海声音。2025年底前制定出台《乌海市推动公共文化服务高质量发展实施意见》，建成市公共文化中心，推进全市公共文化服务提质增效，提升公共文化场馆服务效能。加强非物质文化遗产保护，推进蒙医沙疗申报国家级非遗项目，2025年底前完成第八批自治区非物质文化遗产代表性传承人申报。组织开展好“唱响北疆”、“村晚”、“百姓大舞台”、“广场文化艺术节”等系列群众性文化活动，每年开展活动不少于10场。培育</w:t>
      </w:r>
      <w:proofErr w:type="gramStart"/>
      <w:r w:rsidRPr="006A20A3">
        <w:rPr>
          <w:rFonts w:ascii="仿宋_GB2312" w:eastAsia="仿宋_GB2312" w:hint="eastAsia"/>
          <w:sz w:val="32"/>
          <w:szCs w:val="32"/>
        </w:rPr>
        <w:t>壮大文旅市场</w:t>
      </w:r>
      <w:proofErr w:type="gramEnd"/>
      <w:r w:rsidRPr="006A20A3">
        <w:rPr>
          <w:rFonts w:ascii="仿宋_GB2312" w:eastAsia="仿宋_GB2312" w:hint="eastAsia"/>
          <w:sz w:val="32"/>
          <w:szCs w:val="32"/>
        </w:rPr>
        <w:t>主体，充分</w:t>
      </w:r>
      <w:proofErr w:type="gramStart"/>
      <w:r w:rsidRPr="006A20A3">
        <w:rPr>
          <w:rFonts w:ascii="仿宋_GB2312" w:eastAsia="仿宋_GB2312" w:hint="eastAsia"/>
          <w:sz w:val="32"/>
          <w:szCs w:val="32"/>
        </w:rPr>
        <w:t>激发文旅市场</w:t>
      </w:r>
      <w:proofErr w:type="gramEnd"/>
      <w:r w:rsidRPr="006A20A3">
        <w:rPr>
          <w:rFonts w:ascii="仿宋_GB2312" w:eastAsia="仿宋_GB2312" w:hint="eastAsia"/>
          <w:sz w:val="32"/>
          <w:szCs w:val="32"/>
        </w:rPr>
        <w:t>活力和创造力，依托我市文化和旅游资源，集中打造参与式、体验式、沉浸</w:t>
      </w:r>
      <w:proofErr w:type="gramStart"/>
      <w:r w:rsidRPr="006A20A3">
        <w:rPr>
          <w:rFonts w:ascii="仿宋_GB2312" w:eastAsia="仿宋_GB2312" w:hint="eastAsia"/>
          <w:sz w:val="32"/>
          <w:szCs w:val="32"/>
        </w:rPr>
        <w:t>式文旅消费</w:t>
      </w:r>
      <w:proofErr w:type="gramEnd"/>
      <w:r w:rsidRPr="006A20A3">
        <w:rPr>
          <w:rFonts w:ascii="仿宋_GB2312" w:eastAsia="仿宋_GB2312" w:hint="eastAsia"/>
          <w:sz w:val="32"/>
          <w:szCs w:val="32"/>
        </w:rPr>
        <w:t>新项目、新场景、新产品，丰富演艺、文创等关联消费业态。结合西行客栈、葡园绿道等旅游资源，打造“沙漠葡萄之旅”经典乡村旅游线路，推动</w:t>
      </w:r>
      <w:proofErr w:type="gramStart"/>
      <w:r w:rsidRPr="006A20A3">
        <w:rPr>
          <w:rFonts w:ascii="仿宋_GB2312" w:eastAsia="仿宋_GB2312" w:hint="eastAsia"/>
          <w:sz w:val="32"/>
          <w:szCs w:val="32"/>
        </w:rPr>
        <w:t>农文旅体商</w:t>
      </w:r>
      <w:proofErr w:type="gramEnd"/>
      <w:r w:rsidRPr="006A20A3">
        <w:rPr>
          <w:rFonts w:ascii="仿宋_GB2312" w:eastAsia="仿宋_GB2312" w:hint="eastAsia"/>
          <w:sz w:val="32"/>
          <w:szCs w:val="32"/>
        </w:rPr>
        <w:t>融合发展。制作形式多样的农文</w:t>
      </w:r>
      <w:proofErr w:type="gramStart"/>
      <w:r w:rsidRPr="006A20A3">
        <w:rPr>
          <w:rFonts w:ascii="仿宋_GB2312" w:eastAsia="仿宋_GB2312" w:hint="eastAsia"/>
          <w:sz w:val="32"/>
          <w:szCs w:val="32"/>
        </w:rPr>
        <w:t>旅宣传</w:t>
      </w:r>
      <w:proofErr w:type="gramEnd"/>
      <w:r w:rsidRPr="006A20A3">
        <w:rPr>
          <w:rFonts w:ascii="仿宋_GB2312" w:eastAsia="仿宋_GB2312" w:hint="eastAsia"/>
          <w:sz w:val="32"/>
          <w:szCs w:val="32"/>
        </w:rPr>
        <w:t>视频，加强在抖音、视频号等新媒体平台的线上宣传推广力度，创新推出“体育荟”品牌，开展“跟着赛事去旅行”、“全民健身月”等</w:t>
      </w:r>
      <w:proofErr w:type="gramStart"/>
      <w:r w:rsidRPr="006A20A3">
        <w:rPr>
          <w:rFonts w:ascii="仿宋_GB2312" w:eastAsia="仿宋_GB2312" w:hint="eastAsia"/>
          <w:sz w:val="32"/>
          <w:szCs w:val="32"/>
        </w:rPr>
        <w:lastRenderedPageBreak/>
        <w:t>品牌赛事</w:t>
      </w:r>
      <w:proofErr w:type="gramEnd"/>
      <w:r w:rsidRPr="006A20A3">
        <w:rPr>
          <w:rFonts w:ascii="仿宋_GB2312" w:eastAsia="仿宋_GB2312" w:hint="eastAsia"/>
          <w:sz w:val="32"/>
          <w:szCs w:val="32"/>
        </w:rPr>
        <w:t>活动。打造精品旅游品牌，</w:t>
      </w:r>
      <w:proofErr w:type="gramStart"/>
      <w:r w:rsidRPr="006A20A3">
        <w:rPr>
          <w:rFonts w:ascii="仿宋_GB2312" w:eastAsia="仿宋_GB2312" w:hint="eastAsia"/>
          <w:sz w:val="32"/>
          <w:szCs w:val="32"/>
        </w:rPr>
        <w:t>整合全市</w:t>
      </w:r>
      <w:proofErr w:type="gramEnd"/>
      <w:r w:rsidRPr="006A20A3">
        <w:rPr>
          <w:rFonts w:ascii="仿宋_GB2312" w:eastAsia="仿宋_GB2312" w:hint="eastAsia"/>
          <w:sz w:val="32"/>
          <w:szCs w:val="32"/>
        </w:rPr>
        <w:t>旅游、工业、农业、文化等资源，推出精品</w:t>
      </w:r>
      <w:proofErr w:type="gramStart"/>
      <w:r w:rsidRPr="006A20A3">
        <w:rPr>
          <w:rFonts w:ascii="仿宋_GB2312" w:eastAsia="仿宋_GB2312" w:hint="eastAsia"/>
          <w:sz w:val="32"/>
          <w:szCs w:val="32"/>
        </w:rPr>
        <w:t>研</w:t>
      </w:r>
      <w:proofErr w:type="gramEnd"/>
      <w:r w:rsidRPr="006A20A3">
        <w:rPr>
          <w:rFonts w:ascii="仿宋_GB2312" w:eastAsia="仿宋_GB2312" w:hint="eastAsia"/>
          <w:sz w:val="32"/>
          <w:szCs w:val="32"/>
        </w:rPr>
        <w:t>学旅行线路。推动乌兰布和·乌海湖旅游度假区创建国家级旅游度假区，通过举办大型活动、参与旅游推介会等方式，提高景区影响力，2025—2027年每年新增1个游玩项目，推出3款文创产品，景区营业收入年均增长5%，游客满意</w:t>
      </w:r>
      <w:proofErr w:type="gramStart"/>
      <w:r w:rsidRPr="006A20A3">
        <w:rPr>
          <w:rFonts w:ascii="仿宋_GB2312" w:eastAsia="仿宋_GB2312" w:hint="eastAsia"/>
          <w:sz w:val="32"/>
          <w:szCs w:val="32"/>
        </w:rPr>
        <w:t>度保持</w:t>
      </w:r>
      <w:proofErr w:type="gramEnd"/>
      <w:r w:rsidRPr="006A20A3">
        <w:rPr>
          <w:rFonts w:ascii="仿宋_GB2312" w:eastAsia="仿宋_GB2312" w:hint="eastAsia"/>
          <w:sz w:val="32"/>
          <w:szCs w:val="32"/>
        </w:rPr>
        <w:t>在85%以上。开展国家A级旅游景区申报工作，2025年底前编制完成《乌海市旅游休闲城市建设规划》。推进旅游民宿提档升级，2025年底前争创1家国家级甲级旅游民宿，2026年底前争创1家国家级丙级旅游民宿。2025年实现游客数量突破900万人、旅游收入超百亿元。</w:t>
      </w:r>
    </w:p>
    <w:p w14:paraId="558DBE36"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四）房地产业。更加突出住房的民生属性，加快建立多主体供给、多渠道保障、租购并举的住房保障体系。系统推进好房子、好小区、好社区、好城区建设，全面提升“一刻钟社区生活圈”品质，完善社区嵌入式服务设施。科学规划设置开发强度、城市功能定位和形态，将滨河二期打造</w:t>
      </w:r>
      <w:proofErr w:type="gramStart"/>
      <w:r w:rsidRPr="006A20A3">
        <w:rPr>
          <w:rFonts w:ascii="仿宋_GB2312" w:eastAsia="仿宋_GB2312" w:hint="eastAsia"/>
          <w:sz w:val="32"/>
          <w:szCs w:val="32"/>
        </w:rPr>
        <w:t>为宜居宜业、产城融合</w:t>
      </w:r>
      <w:proofErr w:type="gramEnd"/>
      <w:r w:rsidRPr="006A20A3">
        <w:rPr>
          <w:rFonts w:ascii="仿宋_GB2312" w:eastAsia="仿宋_GB2312" w:hint="eastAsia"/>
          <w:sz w:val="32"/>
          <w:szCs w:val="32"/>
        </w:rPr>
        <w:t>的“城市客厅”。坚持“政府支持、企业让利、群众受益”原则，举办房交会等商品房促销活动，引导房地产开发企业结合自身实际，推出一系列优惠政策让利于民，推动住房销售与家电、家装、家具等消费活动联动，进一步激发住房消费活力。支持单位和社会团体与房地产开发企业对接协商开展商品住房团购活</w:t>
      </w:r>
      <w:r w:rsidRPr="006A20A3">
        <w:rPr>
          <w:rFonts w:ascii="仿宋_GB2312" w:eastAsia="仿宋_GB2312" w:hint="eastAsia"/>
          <w:sz w:val="32"/>
          <w:szCs w:val="32"/>
        </w:rPr>
        <w:lastRenderedPageBreak/>
        <w:t>动。推动全市房地产业转型升级，促进房地产业高质量发展，到2027年，累计完成房地产开发投资50亿元，在全市打造6个高品质住宅项目。因地制宜发展保障性租赁住房，增强全市住房保障能力。深入推进老旧小区改造，2025年底前完成13个老旧小区改造任务，2026—2027年按照国家最新政策制定改造计划。2027年底前新建住宅小区、老旧小区改造配套建设社区养老、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设施达标率达到100%。扎实做好“保交房”工作，2025年底前完成10个保交房项目，持续用准用好“白名单”政策，充分发挥房地产融资协调机制作用，依法依规使用“白名单”项目资金，不断推动“白名单”</w:t>
      </w:r>
      <w:proofErr w:type="gramStart"/>
      <w:r w:rsidRPr="006A20A3">
        <w:rPr>
          <w:rFonts w:ascii="仿宋_GB2312" w:eastAsia="仿宋_GB2312" w:hint="eastAsia"/>
          <w:sz w:val="32"/>
          <w:szCs w:val="32"/>
        </w:rPr>
        <w:t>项目扩围增效</w:t>
      </w:r>
      <w:proofErr w:type="gramEnd"/>
      <w:r w:rsidRPr="006A20A3">
        <w:rPr>
          <w:rFonts w:ascii="仿宋_GB2312" w:eastAsia="仿宋_GB2312" w:hint="eastAsia"/>
          <w:sz w:val="32"/>
          <w:szCs w:val="32"/>
        </w:rPr>
        <w:t>，力求对合</w:t>
      </w:r>
      <w:proofErr w:type="gramStart"/>
      <w:r w:rsidRPr="006A20A3">
        <w:rPr>
          <w:rFonts w:ascii="仿宋_GB2312" w:eastAsia="仿宋_GB2312" w:hint="eastAsia"/>
          <w:sz w:val="32"/>
          <w:szCs w:val="32"/>
        </w:rPr>
        <w:t>规</w:t>
      </w:r>
      <w:proofErr w:type="gramEnd"/>
      <w:r w:rsidRPr="006A20A3">
        <w:rPr>
          <w:rFonts w:ascii="仿宋_GB2312" w:eastAsia="仿宋_GB2312" w:hint="eastAsia"/>
          <w:sz w:val="32"/>
          <w:szCs w:val="32"/>
        </w:rPr>
        <w:t>住房开发项目实现“应进尽进”，项目合理融资需求实现“应贷尽贷”。加快推进有意愿引进专业化物业的零散楼院等住宅小区实现专业化物业管理全覆盖。</w:t>
      </w:r>
    </w:p>
    <w:p w14:paraId="39C709F7"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五）养老托育家政服务业。加强与培训学校、职业学院的合作交流，开设养老专业课程，采用“线上+线下”培训模式提升人员技能，2025年底前对全市200名养老护理从业人员进行免费技能培训和职业资质鉴定，逐步实现持证上岗。健全完善居家养老服务网络设施，2027年底前新建（改建）5个嵌入式小区老年之家，改造乌兰淖尔镇、千里山镇养老综合服务中心，2027年底前完成2个农区互助幸福</w:t>
      </w:r>
      <w:proofErr w:type="gramStart"/>
      <w:r w:rsidRPr="006A20A3">
        <w:rPr>
          <w:rFonts w:ascii="仿宋_GB2312" w:eastAsia="仿宋_GB2312" w:hint="eastAsia"/>
          <w:sz w:val="32"/>
          <w:szCs w:val="32"/>
        </w:rPr>
        <w:t>院安全</w:t>
      </w:r>
      <w:proofErr w:type="gramEnd"/>
      <w:r w:rsidRPr="006A20A3">
        <w:rPr>
          <w:rFonts w:ascii="仿宋_GB2312" w:eastAsia="仿宋_GB2312" w:hint="eastAsia"/>
          <w:sz w:val="32"/>
          <w:szCs w:val="32"/>
        </w:rPr>
        <w:t>取暖设施改造。多方筹措资金，2026—2027</w:t>
      </w:r>
      <w:r w:rsidRPr="006A20A3">
        <w:rPr>
          <w:rFonts w:ascii="仿宋_GB2312" w:eastAsia="仿宋_GB2312" w:hint="eastAsia"/>
          <w:sz w:val="32"/>
          <w:szCs w:val="32"/>
        </w:rPr>
        <w:lastRenderedPageBreak/>
        <w:t>年每年新（改）建3个小区老年之家。2027年底前社区医疗服务中心对接失能等特殊老人</w:t>
      </w:r>
      <w:proofErr w:type="gramStart"/>
      <w:r w:rsidRPr="006A20A3">
        <w:rPr>
          <w:rFonts w:ascii="仿宋_GB2312" w:eastAsia="仿宋_GB2312" w:hint="eastAsia"/>
          <w:sz w:val="32"/>
          <w:szCs w:val="32"/>
        </w:rPr>
        <w:t>照护率</w:t>
      </w:r>
      <w:proofErr w:type="gramEnd"/>
      <w:r w:rsidRPr="006A20A3">
        <w:rPr>
          <w:rFonts w:ascii="仿宋_GB2312" w:eastAsia="仿宋_GB2312" w:hint="eastAsia"/>
          <w:sz w:val="32"/>
          <w:szCs w:val="32"/>
        </w:rPr>
        <w:t>达到90%。增加普惠</w:t>
      </w:r>
      <w:proofErr w:type="gramStart"/>
      <w:r w:rsidRPr="006A20A3">
        <w:rPr>
          <w:rFonts w:ascii="仿宋_GB2312" w:eastAsia="仿宋_GB2312" w:hint="eastAsia"/>
          <w:sz w:val="32"/>
          <w:szCs w:val="32"/>
        </w:rPr>
        <w:t>性托育服务</w:t>
      </w:r>
      <w:proofErr w:type="gramEnd"/>
      <w:r w:rsidRPr="006A20A3">
        <w:rPr>
          <w:rFonts w:ascii="仿宋_GB2312" w:eastAsia="仿宋_GB2312" w:hint="eastAsia"/>
          <w:sz w:val="32"/>
          <w:szCs w:val="32"/>
        </w:rPr>
        <w:t>供给，建设乌海市综合托育服务中心和乌达区托育综合服务中心，采取公建公营、公建民营、购买服务等方式，持续增加普惠</w:t>
      </w:r>
      <w:proofErr w:type="gramStart"/>
      <w:r w:rsidRPr="006A20A3">
        <w:rPr>
          <w:rFonts w:ascii="仿宋_GB2312" w:eastAsia="仿宋_GB2312" w:hint="eastAsia"/>
          <w:sz w:val="32"/>
          <w:szCs w:val="32"/>
        </w:rPr>
        <w:t>性托位</w:t>
      </w:r>
      <w:proofErr w:type="gramEnd"/>
      <w:r w:rsidRPr="006A20A3">
        <w:rPr>
          <w:rFonts w:ascii="仿宋_GB2312" w:eastAsia="仿宋_GB2312" w:hint="eastAsia"/>
          <w:sz w:val="32"/>
          <w:szCs w:val="32"/>
        </w:rPr>
        <w:t>供给。扩大“萌宝驿站”社区托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试点范围，带动社区嵌入式托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发展。</w:t>
      </w:r>
      <w:proofErr w:type="gramStart"/>
      <w:r w:rsidRPr="006A20A3">
        <w:rPr>
          <w:rFonts w:ascii="仿宋_GB2312" w:eastAsia="仿宋_GB2312" w:hint="eastAsia"/>
          <w:sz w:val="32"/>
          <w:szCs w:val="32"/>
        </w:rPr>
        <w:t>完善托育机构</w:t>
      </w:r>
      <w:proofErr w:type="gramEnd"/>
      <w:r w:rsidRPr="006A20A3">
        <w:rPr>
          <w:rFonts w:ascii="仿宋_GB2312" w:eastAsia="仿宋_GB2312" w:hint="eastAsia"/>
          <w:sz w:val="32"/>
          <w:szCs w:val="32"/>
        </w:rPr>
        <w:t>备案制度，鼓励医疗机构与托</w:t>
      </w:r>
      <w:proofErr w:type="gramStart"/>
      <w:r w:rsidRPr="006A20A3">
        <w:rPr>
          <w:rFonts w:ascii="仿宋_GB2312" w:eastAsia="仿宋_GB2312" w:hint="eastAsia"/>
          <w:sz w:val="32"/>
          <w:szCs w:val="32"/>
        </w:rPr>
        <w:t>育机构</w:t>
      </w:r>
      <w:proofErr w:type="gramEnd"/>
      <w:r w:rsidRPr="006A20A3">
        <w:rPr>
          <w:rFonts w:ascii="仿宋_GB2312" w:eastAsia="仿宋_GB2312" w:hint="eastAsia"/>
          <w:sz w:val="32"/>
          <w:szCs w:val="32"/>
        </w:rPr>
        <w:t>开展签约合作，向托</w:t>
      </w:r>
      <w:proofErr w:type="gramStart"/>
      <w:r w:rsidRPr="006A20A3">
        <w:rPr>
          <w:rFonts w:ascii="仿宋_GB2312" w:eastAsia="仿宋_GB2312" w:hint="eastAsia"/>
          <w:sz w:val="32"/>
          <w:szCs w:val="32"/>
        </w:rPr>
        <w:t>育机构</w:t>
      </w:r>
      <w:proofErr w:type="gramEnd"/>
      <w:r w:rsidRPr="006A20A3">
        <w:rPr>
          <w:rFonts w:ascii="仿宋_GB2312" w:eastAsia="仿宋_GB2312" w:hint="eastAsia"/>
          <w:sz w:val="32"/>
          <w:szCs w:val="32"/>
        </w:rPr>
        <w:t>提供卫生保健、膳食营养、疾病防控等儿童健康管理服务，提升托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的质量和水平。2025年底前每千人口托位数达到4.5个，各区至少建设2所公办托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机构。2026年底前各区至少建成3所公办托</w:t>
      </w:r>
      <w:proofErr w:type="gramStart"/>
      <w:r w:rsidRPr="006A20A3">
        <w:rPr>
          <w:rFonts w:ascii="仿宋_GB2312" w:eastAsia="仿宋_GB2312" w:hint="eastAsia"/>
          <w:sz w:val="32"/>
          <w:szCs w:val="32"/>
        </w:rPr>
        <w:t>育服务</w:t>
      </w:r>
      <w:proofErr w:type="gramEnd"/>
      <w:r w:rsidRPr="006A20A3">
        <w:rPr>
          <w:rFonts w:ascii="仿宋_GB2312" w:eastAsia="仿宋_GB2312" w:hint="eastAsia"/>
          <w:sz w:val="32"/>
          <w:szCs w:val="32"/>
        </w:rPr>
        <w:t>机构，进一步</w:t>
      </w:r>
      <w:proofErr w:type="gramStart"/>
      <w:r w:rsidRPr="006A20A3">
        <w:rPr>
          <w:rFonts w:ascii="仿宋_GB2312" w:eastAsia="仿宋_GB2312" w:hint="eastAsia"/>
          <w:sz w:val="32"/>
          <w:szCs w:val="32"/>
        </w:rPr>
        <w:t>提高托位使用率</w:t>
      </w:r>
      <w:proofErr w:type="gramEnd"/>
      <w:r w:rsidRPr="006A20A3">
        <w:rPr>
          <w:rFonts w:ascii="仿宋_GB2312" w:eastAsia="仿宋_GB2312" w:hint="eastAsia"/>
          <w:sz w:val="32"/>
          <w:szCs w:val="32"/>
        </w:rPr>
        <w:t>。2027年底前托</w:t>
      </w:r>
      <w:proofErr w:type="gramStart"/>
      <w:r w:rsidRPr="006A20A3">
        <w:rPr>
          <w:rFonts w:ascii="仿宋_GB2312" w:eastAsia="仿宋_GB2312" w:hint="eastAsia"/>
          <w:sz w:val="32"/>
          <w:szCs w:val="32"/>
        </w:rPr>
        <w:t>育机构</w:t>
      </w:r>
      <w:proofErr w:type="gramEnd"/>
      <w:r w:rsidRPr="006A20A3">
        <w:rPr>
          <w:rFonts w:ascii="仿宋_GB2312" w:eastAsia="仿宋_GB2312" w:hint="eastAsia"/>
          <w:sz w:val="32"/>
          <w:szCs w:val="32"/>
        </w:rPr>
        <w:t>备案率和医疗机构与托</w:t>
      </w:r>
      <w:proofErr w:type="gramStart"/>
      <w:r w:rsidRPr="006A20A3">
        <w:rPr>
          <w:rFonts w:ascii="仿宋_GB2312" w:eastAsia="仿宋_GB2312" w:hint="eastAsia"/>
          <w:sz w:val="32"/>
          <w:szCs w:val="32"/>
        </w:rPr>
        <w:t>育机构</w:t>
      </w:r>
      <w:proofErr w:type="gramEnd"/>
      <w:r w:rsidRPr="006A20A3">
        <w:rPr>
          <w:rFonts w:ascii="仿宋_GB2312" w:eastAsia="仿宋_GB2312" w:hint="eastAsia"/>
          <w:sz w:val="32"/>
          <w:szCs w:val="32"/>
        </w:rPr>
        <w:t>签约率达到80%。扩大家政服务从业规模，发挥人力资源市场作用，加强家政服务用工需求信息归集发布和精准对接。推动家政进社区，采取“平台+门店”模式，2025年底前组织企业与20个社区对接入驻。完善“乌海e家政”小程序，加大推广使用力度，实现服务预约、进度跟进、在线支付等功能。2027年底前社区家政服务能力覆盖率达到95%，从业人员技能认证率超过70%，电子版“居家上门服务证”推广率达到100%</w:t>
      </w:r>
      <w:r w:rsidRPr="006A20A3">
        <w:rPr>
          <w:rFonts w:ascii="Courier New" w:eastAsia="仿宋_GB2312" w:hAnsi="Courier New" w:cs="Courier New"/>
          <w:sz w:val="32"/>
          <w:szCs w:val="32"/>
        </w:rPr>
        <w:t>‌</w:t>
      </w:r>
      <w:r w:rsidRPr="006A20A3">
        <w:rPr>
          <w:rFonts w:ascii="仿宋_GB2312" w:eastAsia="仿宋_GB2312" w:hint="eastAsia"/>
          <w:sz w:val="32"/>
          <w:szCs w:val="32"/>
        </w:rPr>
        <w:t>。</w:t>
      </w:r>
    </w:p>
    <w:p w14:paraId="23D6153C"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（六）金融服务业。深化政金企合作，定期梳理融资项目清单，动态推送至金融机构，沟通重点项目融资进展</w:t>
      </w:r>
      <w:r w:rsidRPr="006A20A3">
        <w:rPr>
          <w:rFonts w:ascii="仿宋_GB2312" w:eastAsia="仿宋_GB2312" w:hint="eastAsia"/>
          <w:sz w:val="32"/>
          <w:szCs w:val="32"/>
        </w:rPr>
        <w:lastRenderedPageBreak/>
        <w:t>情况，按月开展政金企对接会。落实资金要素服务保障，根据工作需要不定期召开投融资项目协调推进联席会议，协调解决企业在投融资方面存在的困难和问题，营造良好的投融资发展环境，引导金融机构向总部争取资金、价格、期限等方面支持，2025年底前力争全市贷款余额增长10%、金融业增加值增长12%。完善金融机构评价激励机制，2025年底前制定银行业金融机构考核机制，将金融机构服务实体经济贡献度与财政资金存放挂钩，提升金融服务实体经济质效。落实企业上市“天骏计划”和“千百工程”，加强资本市场宣传，每年开展不少于3场资本市场专题培训和上市挂牌辅导，筛选培育优质上市后备企业，2025年底前力争新增2家后备库企业。探索构建耐心资本培育机制，</w:t>
      </w:r>
      <w:proofErr w:type="gramStart"/>
      <w:r w:rsidRPr="006A20A3">
        <w:rPr>
          <w:rFonts w:ascii="仿宋_GB2312" w:eastAsia="仿宋_GB2312" w:hint="eastAsia"/>
          <w:sz w:val="32"/>
          <w:szCs w:val="32"/>
        </w:rPr>
        <w:t>设立科创产业</w:t>
      </w:r>
      <w:proofErr w:type="gramEnd"/>
      <w:r w:rsidRPr="006A20A3">
        <w:rPr>
          <w:rFonts w:ascii="仿宋_GB2312" w:eastAsia="仿宋_GB2312" w:hint="eastAsia"/>
          <w:sz w:val="32"/>
          <w:szCs w:val="32"/>
        </w:rPr>
        <w:t>发展基金，总规模18亿元，鼓励国有投资平台与市场化风险投资机构深化产融协同，探索“产业母基金+子基金”价值投资模式，围绕BDO一体化、固态电池一体化、硅基新材料一体化等重点产业</w:t>
      </w:r>
      <w:proofErr w:type="gramStart"/>
      <w:r w:rsidRPr="006A20A3">
        <w:rPr>
          <w:rFonts w:ascii="仿宋_GB2312" w:eastAsia="仿宋_GB2312" w:hint="eastAsia"/>
          <w:sz w:val="32"/>
          <w:szCs w:val="32"/>
        </w:rPr>
        <w:t>链实施</w:t>
      </w:r>
      <w:proofErr w:type="gramEnd"/>
      <w:r w:rsidRPr="006A20A3">
        <w:rPr>
          <w:rFonts w:ascii="仿宋_GB2312" w:eastAsia="仿宋_GB2312" w:hint="eastAsia"/>
          <w:sz w:val="32"/>
          <w:szCs w:val="32"/>
        </w:rPr>
        <w:t>价值投资，2025年底前支持1个以上重点项目投放。</w:t>
      </w:r>
      <w:proofErr w:type="gramStart"/>
      <w:r w:rsidRPr="006A20A3">
        <w:rPr>
          <w:rFonts w:ascii="仿宋_GB2312" w:eastAsia="仿宋_GB2312" w:hint="eastAsia"/>
          <w:sz w:val="32"/>
          <w:szCs w:val="32"/>
        </w:rPr>
        <w:t>推深做实</w:t>
      </w:r>
      <w:proofErr w:type="gramEnd"/>
      <w:r w:rsidRPr="006A20A3">
        <w:rPr>
          <w:rFonts w:ascii="仿宋_GB2312" w:eastAsia="仿宋_GB2312" w:hint="eastAsia"/>
          <w:sz w:val="32"/>
          <w:szCs w:val="32"/>
        </w:rPr>
        <w:t>重点产业链“1+N”金融服务机制，聚焦我市重点产业链，2025年确保制造业贷款增速保持在10%以上。推进京</w:t>
      </w:r>
      <w:proofErr w:type="gramStart"/>
      <w:r w:rsidRPr="006A20A3">
        <w:rPr>
          <w:rFonts w:ascii="仿宋_GB2312" w:eastAsia="仿宋_GB2312" w:hint="eastAsia"/>
          <w:sz w:val="32"/>
          <w:szCs w:val="32"/>
        </w:rPr>
        <w:t>蒙金融</w:t>
      </w:r>
      <w:proofErr w:type="gramEnd"/>
      <w:r w:rsidRPr="006A20A3">
        <w:rPr>
          <w:rFonts w:ascii="仿宋_GB2312" w:eastAsia="仿宋_GB2312" w:hint="eastAsia"/>
          <w:sz w:val="32"/>
          <w:szCs w:val="32"/>
        </w:rPr>
        <w:t>领域全面协作，定期举办融资合作对接洽谈活动，组织重点企业与北京投资机构开展精准对接，2025年底前联合开展不少于2次专题培训和实地调研，提升全市金融人才专业能力。</w:t>
      </w:r>
      <w:r w:rsidRPr="006A20A3">
        <w:rPr>
          <w:rFonts w:ascii="仿宋_GB2312" w:eastAsia="仿宋_GB2312" w:hint="eastAsia"/>
          <w:sz w:val="32"/>
          <w:szCs w:val="32"/>
        </w:rPr>
        <w:lastRenderedPageBreak/>
        <w:t>制定普</w:t>
      </w:r>
      <w:proofErr w:type="gramStart"/>
      <w:r w:rsidRPr="006A20A3">
        <w:rPr>
          <w:rFonts w:ascii="仿宋_GB2312" w:eastAsia="仿宋_GB2312" w:hint="eastAsia"/>
          <w:sz w:val="32"/>
          <w:szCs w:val="32"/>
        </w:rPr>
        <w:t>惠型涉农</w:t>
      </w:r>
      <w:proofErr w:type="gramEnd"/>
      <w:r w:rsidRPr="006A20A3">
        <w:rPr>
          <w:rFonts w:ascii="仿宋_GB2312" w:eastAsia="仿宋_GB2312" w:hint="eastAsia"/>
          <w:sz w:val="32"/>
          <w:szCs w:val="32"/>
        </w:rPr>
        <w:t>、</w:t>
      </w:r>
      <w:proofErr w:type="gramStart"/>
      <w:r w:rsidRPr="006A20A3">
        <w:rPr>
          <w:rFonts w:ascii="仿宋_GB2312" w:eastAsia="仿宋_GB2312" w:hint="eastAsia"/>
          <w:sz w:val="32"/>
          <w:szCs w:val="32"/>
        </w:rPr>
        <w:t>普惠型小</w:t>
      </w:r>
      <w:proofErr w:type="gramEnd"/>
      <w:r w:rsidRPr="006A20A3">
        <w:rPr>
          <w:rFonts w:ascii="仿宋_GB2312" w:eastAsia="仿宋_GB2312" w:hint="eastAsia"/>
          <w:sz w:val="32"/>
          <w:szCs w:val="32"/>
        </w:rPr>
        <w:t>微信贷计划，力争实现普</w:t>
      </w:r>
      <w:proofErr w:type="gramStart"/>
      <w:r w:rsidRPr="006A20A3">
        <w:rPr>
          <w:rFonts w:ascii="仿宋_GB2312" w:eastAsia="仿宋_GB2312" w:hint="eastAsia"/>
          <w:sz w:val="32"/>
          <w:szCs w:val="32"/>
        </w:rPr>
        <w:t>惠型小微企业</w:t>
      </w:r>
      <w:proofErr w:type="gramEnd"/>
      <w:r w:rsidRPr="006A20A3">
        <w:rPr>
          <w:rFonts w:ascii="仿宋_GB2312" w:eastAsia="仿宋_GB2312" w:hint="eastAsia"/>
          <w:sz w:val="32"/>
          <w:szCs w:val="32"/>
        </w:rPr>
        <w:t>贷款考核目标。优化保险机构网点布局，2025年底前撤并弱体四级保险机构3—5家，清理“三无”保险中介机构1—2家。</w:t>
      </w:r>
    </w:p>
    <w:p w14:paraId="66F963BB"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七）工业和科技信息领域服务业。加快5G网络全覆盖，提升网络速度和稳定性，满足数字化转型对高速、低时延、广连接的网络需求。推动工业互联网发展，建立完善的工业互联网平台，促进企业间信息互联互通，提升产业链协同效率。引导企业加快数字化转型共性技术、关键技术研发，建设共性开发平台、提供共性解决方案和基础软硬件，促进相关代码、标准、平台开源发展。在新能源、新材料领域探索大数据、云计算、人工智能、数字孪生、5G、物联网和区块链等新一代数字技术应用和集成创新。2025年底前建成智能工厂1个，2026年底前建成智能工厂2个，2027年底前建成1个区域级工业互联网平台。鼓励和支持符合条件的自治区</w:t>
      </w:r>
      <w:proofErr w:type="gramStart"/>
      <w:r w:rsidRPr="006A20A3">
        <w:rPr>
          <w:rFonts w:ascii="仿宋_GB2312" w:eastAsia="仿宋_GB2312" w:hint="eastAsia"/>
          <w:sz w:val="32"/>
          <w:szCs w:val="32"/>
        </w:rPr>
        <w:t>级众创空间</w:t>
      </w:r>
      <w:proofErr w:type="gramEnd"/>
      <w:r w:rsidRPr="006A20A3">
        <w:rPr>
          <w:rFonts w:ascii="仿宋_GB2312" w:eastAsia="仿宋_GB2312" w:hint="eastAsia"/>
          <w:sz w:val="32"/>
          <w:szCs w:val="32"/>
        </w:rPr>
        <w:t>和科技企业孵化器提质升级，2025年底建成“乌海市—北京市双向科创飞地”，推动优质科技成果在我市转移转化，实施科技成果转化项目8项以上，全市技术合同成交额力争达到8亿元。抢抓“科技兴蒙”行动带来的开放合作机遇，完善与发达地区和高校院所的创新合作机制，依托自治区“蒙科聚”创新驱动平台，逐步建立科技成果供需清单，实现创新资源和</w:t>
      </w:r>
      <w:r w:rsidRPr="006A20A3">
        <w:rPr>
          <w:rFonts w:ascii="仿宋_GB2312" w:eastAsia="仿宋_GB2312" w:hint="eastAsia"/>
          <w:sz w:val="32"/>
          <w:szCs w:val="32"/>
        </w:rPr>
        <w:lastRenderedPageBreak/>
        <w:t>创新需求的有效衔接。推进产学研深度融合，</w:t>
      </w:r>
      <w:proofErr w:type="gramStart"/>
      <w:r w:rsidRPr="006A20A3">
        <w:rPr>
          <w:rFonts w:ascii="仿宋_GB2312" w:eastAsia="仿宋_GB2312" w:hint="eastAsia"/>
          <w:sz w:val="32"/>
          <w:szCs w:val="32"/>
        </w:rPr>
        <w:t>引育高层次</w:t>
      </w:r>
      <w:proofErr w:type="gramEnd"/>
      <w:r w:rsidRPr="006A20A3">
        <w:rPr>
          <w:rFonts w:ascii="仿宋_GB2312" w:eastAsia="仿宋_GB2312" w:hint="eastAsia"/>
          <w:sz w:val="32"/>
          <w:szCs w:val="32"/>
        </w:rPr>
        <w:t>科技创新创业人才团队，2025年底前推动南策文院士在乌海建设自治区院士工作站，推动</w:t>
      </w:r>
      <w:proofErr w:type="gramStart"/>
      <w:r w:rsidRPr="006A20A3">
        <w:rPr>
          <w:rFonts w:ascii="仿宋_GB2312" w:eastAsia="仿宋_GB2312" w:hint="eastAsia"/>
          <w:sz w:val="32"/>
          <w:szCs w:val="32"/>
        </w:rPr>
        <w:t>蹇</w:t>
      </w:r>
      <w:proofErr w:type="gramEnd"/>
      <w:r w:rsidRPr="006A20A3">
        <w:rPr>
          <w:rFonts w:ascii="仿宋_GB2312" w:eastAsia="仿宋_GB2312" w:hint="eastAsia"/>
          <w:sz w:val="32"/>
          <w:szCs w:val="32"/>
        </w:rPr>
        <w:t>锡高院士在乌海设立院士联合创新中心。2025年底前基本</w:t>
      </w:r>
      <w:proofErr w:type="gramStart"/>
      <w:r w:rsidRPr="006A20A3">
        <w:rPr>
          <w:rFonts w:ascii="仿宋_GB2312" w:eastAsia="仿宋_GB2312" w:hint="eastAsia"/>
          <w:sz w:val="32"/>
          <w:szCs w:val="32"/>
        </w:rPr>
        <w:t>完成智算中心</w:t>
      </w:r>
      <w:proofErr w:type="gramEnd"/>
      <w:r w:rsidRPr="006A20A3">
        <w:rPr>
          <w:rFonts w:ascii="仿宋_GB2312" w:eastAsia="仿宋_GB2312" w:hint="eastAsia"/>
          <w:sz w:val="32"/>
          <w:szCs w:val="32"/>
        </w:rPr>
        <w:t>建设并确保运行稳定，为全市及周边工业园区提供</w:t>
      </w:r>
      <w:proofErr w:type="gramStart"/>
      <w:r w:rsidRPr="006A20A3">
        <w:rPr>
          <w:rFonts w:ascii="仿宋_GB2312" w:eastAsia="仿宋_GB2312" w:hint="eastAsia"/>
          <w:sz w:val="32"/>
          <w:szCs w:val="32"/>
        </w:rPr>
        <w:t>先进普惠算力</w:t>
      </w:r>
      <w:proofErr w:type="gramEnd"/>
      <w:r w:rsidRPr="006A20A3">
        <w:rPr>
          <w:rFonts w:ascii="仿宋_GB2312" w:eastAsia="仿宋_GB2312" w:hint="eastAsia"/>
          <w:sz w:val="32"/>
          <w:szCs w:val="32"/>
        </w:rPr>
        <w:t>服务。2026年底前推动“人工智能+煤炭”、“人工智能+化工”等领域大模型建设，以数字赋能重点行业发展。2027年底前打造人工智能应用服务创新中心、数据加工治理中心、</w:t>
      </w:r>
      <w:proofErr w:type="gramStart"/>
      <w:r w:rsidRPr="006A20A3">
        <w:rPr>
          <w:rFonts w:ascii="仿宋_GB2312" w:eastAsia="仿宋_GB2312" w:hint="eastAsia"/>
          <w:sz w:val="32"/>
          <w:szCs w:val="32"/>
        </w:rPr>
        <w:t>智算运营</w:t>
      </w:r>
      <w:proofErr w:type="gramEnd"/>
      <w:r w:rsidRPr="006A20A3">
        <w:rPr>
          <w:rFonts w:ascii="仿宋_GB2312" w:eastAsia="仿宋_GB2312" w:hint="eastAsia"/>
          <w:sz w:val="32"/>
          <w:szCs w:val="32"/>
        </w:rPr>
        <w:t>中心等人工智能产业集群，进一步激发数据要素市场活力。</w:t>
      </w:r>
    </w:p>
    <w:p w14:paraId="0873DAF9"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三、保障措施</w:t>
      </w:r>
    </w:p>
    <w:p w14:paraId="5FA4345C" w14:textId="77777777" w:rsidR="006A20A3" w:rsidRPr="006A20A3" w:rsidRDefault="006A20A3" w:rsidP="006A20A3">
      <w:pPr>
        <w:rPr>
          <w:rFonts w:ascii="仿宋_GB2312" w:eastAsia="仿宋_GB2312" w:hint="eastAsia"/>
          <w:sz w:val="32"/>
          <w:szCs w:val="32"/>
        </w:rPr>
      </w:pPr>
      <w:r w:rsidRPr="006A20A3">
        <w:rPr>
          <w:rFonts w:ascii="仿宋_GB2312" w:eastAsia="仿宋_GB2312" w:hint="eastAsia"/>
          <w:sz w:val="32"/>
          <w:szCs w:val="32"/>
        </w:rPr>
        <w:t xml:space="preserve">　　各区、各部门单位负责本领域服务业推进工作，要对发展目标、重点任务、重点项目实施清单化管理，集中力量重点推进。要推进服务业“放管服”改革，降低行业准入门槛，破除行业壁垒和地方保护，打造包容创新的监管环境、公平普惠的政策环境和公平竞争的市场环境。积极争取国家、自治区服务业专项资金，支持企业发展壮大。要围绕重点领域和突出短板，扶持和培育一批市场主体和创新平台。加快推动专业园区、专业市场建设，支持各类市场主体入园经营，实现服务业集聚发展。要持续加大服务业招商引资力度，推动一批重点服务业项目签约落地。建立服务业重点</w:t>
      </w:r>
      <w:proofErr w:type="gramStart"/>
      <w:r w:rsidRPr="006A20A3">
        <w:rPr>
          <w:rFonts w:ascii="仿宋_GB2312" w:eastAsia="仿宋_GB2312" w:hint="eastAsia"/>
          <w:sz w:val="32"/>
          <w:szCs w:val="32"/>
        </w:rPr>
        <w:t>项目库并强化</w:t>
      </w:r>
      <w:proofErr w:type="gramEnd"/>
      <w:r w:rsidRPr="006A20A3">
        <w:rPr>
          <w:rFonts w:ascii="仿宋_GB2312" w:eastAsia="仿宋_GB2312" w:hint="eastAsia"/>
          <w:sz w:val="32"/>
          <w:szCs w:val="32"/>
        </w:rPr>
        <w:t>调度分析，按照“规模企业</w:t>
      </w:r>
      <w:r w:rsidRPr="006A20A3">
        <w:rPr>
          <w:rFonts w:ascii="仿宋_GB2312" w:eastAsia="仿宋_GB2312" w:hint="eastAsia"/>
          <w:sz w:val="32"/>
          <w:szCs w:val="32"/>
        </w:rPr>
        <w:lastRenderedPageBreak/>
        <w:t>抓入库、临界企业抓培育、中小企业促成长”的原则，加大政策激励，加强市场监管，深入挖潜，分类分批推动市场主体“个转企”、“小升规”。加大服务业各专业统计监测力度，全面系统摸清底数，认真开展服务业产业增加值核算工作，实现服务业发展指标数据</w:t>
      </w:r>
      <w:proofErr w:type="gramStart"/>
      <w:r w:rsidRPr="006A20A3">
        <w:rPr>
          <w:rFonts w:ascii="仿宋_GB2312" w:eastAsia="仿宋_GB2312" w:hint="eastAsia"/>
          <w:sz w:val="32"/>
          <w:szCs w:val="32"/>
        </w:rPr>
        <w:t>应统尽统</w:t>
      </w:r>
      <w:proofErr w:type="gramEnd"/>
      <w:r w:rsidRPr="006A20A3">
        <w:rPr>
          <w:rFonts w:ascii="仿宋_GB2312" w:eastAsia="仿宋_GB2312" w:hint="eastAsia"/>
          <w:sz w:val="32"/>
          <w:szCs w:val="32"/>
        </w:rPr>
        <w:t>。市发展和改革委员会负责统筹调度相关工作，对各部门单位工作落实情况进行监督，对落实不力、工作迟缓的及时提醒和催办，确保各项工作有力有序有效推进。</w:t>
      </w:r>
    </w:p>
    <w:p w14:paraId="0A3ABBCB" w14:textId="77777777" w:rsidR="00BB536A" w:rsidRPr="006A20A3" w:rsidRDefault="00BB536A">
      <w:pPr>
        <w:rPr>
          <w:rFonts w:ascii="仿宋_GB2312" w:eastAsia="仿宋_GB2312" w:hint="eastAsia"/>
          <w:sz w:val="32"/>
          <w:szCs w:val="32"/>
        </w:rPr>
      </w:pPr>
    </w:p>
    <w:sectPr w:rsidR="00BB536A" w:rsidRPr="006A2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2D6A" w14:textId="77777777" w:rsidR="00314F2C" w:rsidRDefault="00314F2C" w:rsidP="006A20A3">
      <w:pPr>
        <w:rPr>
          <w:rFonts w:hint="eastAsia"/>
        </w:rPr>
      </w:pPr>
      <w:r>
        <w:separator/>
      </w:r>
    </w:p>
  </w:endnote>
  <w:endnote w:type="continuationSeparator" w:id="0">
    <w:p w14:paraId="10F49844" w14:textId="77777777" w:rsidR="00314F2C" w:rsidRDefault="00314F2C" w:rsidP="006A20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7727" w14:textId="77777777" w:rsidR="00314F2C" w:rsidRDefault="00314F2C" w:rsidP="006A20A3">
      <w:pPr>
        <w:rPr>
          <w:rFonts w:hint="eastAsia"/>
        </w:rPr>
      </w:pPr>
      <w:r>
        <w:separator/>
      </w:r>
    </w:p>
  </w:footnote>
  <w:footnote w:type="continuationSeparator" w:id="0">
    <w:p w14:paraId="362E8B51" w14:textId="77777777" w:rsidR="00314F2C" w:rsidRDefault="00314F2C" w:rsidP="006A20A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48BB"/>
    <w:rsid w:val="00314F2C"/>
    <w:rsid w:val="004248BB"/>
    <w:rsid w:val="006A20A3"/>
    <w:rsid w:val="00BB536A"/>
    <w:rsid w:val="00E0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A5195"/>
  <w15:chartTrackingRefBased/>
  <w15:docId w15:val="{50DEED95-D6C9-453E-9223-6A4AA30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48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248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48B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48B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248B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248B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248B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8B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248B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8B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248B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48B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48BB"/>
    <w:rPr>
      <w:rFonts w:cstheme="majorBidi"/>
      <w:color w:val="0F4761" w:themeColor="accent1" w:themeShade="BF"/>
      <w:sz w:val="28"/>
      <w:szCs w:val="28"/>
    </w:rPr>
  </w:style>
  <w:style w:type="character" w:customStyle="1" w:styleId="50">
    <w:name w:val="标题 5 字符"/>
    <w:basedOn w:val="a0"/>
    <w:link w:val="5"/>
    <w:uiPriority w:val="9"/>
    <w:semiHidden/>
    <w:rsid w:val="004248BB"/>
    <w:rPr>
      <w:rFonts w:cstheme="majorBidi"/>
      <w:color w:val="0F4761" w:themeColor="accent1" w:themeShade="BF"/>
      <w:sz w:val="24"/>
      <w:szCs w:val="24"/>
    </w:rPr>
  </w:style>
  <w:style w:type="character" w:customStyle="1" w:styleId="60">
    <w:name w:val="标题 6 字符"/>
    <w:basedOn w:val="a0"/>
    <w:link w:val="6"/>
    <w:uiPriority w:val="9"/>
    <w:semiHidden/>
    <w:rsid w:val="004248BB"/>
    <w:rPr>
      <w:rFonts w:cstheme="majorBidi"/>
      <w:b/>
      <w:bCs/>
      <w:color w:val="0F4761" w:themeColor="accent1" w:themeShade="BF"/>
    </w:rPr>
  </w:style>
  <w:style w:type="character" w:customStyle="1" w:styleId="70">
    <w:name w:val="标题 7 字符"/>
    <w:basedOn w:val="a0"/>
    <w:link w:val="7"/>
    <w:uiPriority w:val="9"/>
    <w:semiHidden/>
    <w:rsid w:val="004248BB"/>
    <w:rPr>
      <w:rFonts w:cstheme="majorBidi"/>
      <w:b/>
      <w:bCs/>
      <w:color w:val="595959" w:themeColor="text1" w:themeTint="A6"/>
    </w:rPr>
  </w:style>
  <w:style w:type="character" w:customStyle="1" w:styleId="80">
    <w:name w:val="标题 8 字符"/>
    <w:basedOn w:val="a0"/>
    <w:link w:val="8"/>
    <w:uiPriority w:val="9"/>
    <w:semiHidden/>
    <w:rsid w:val="004248BB"/>
    <w:rPr>
      <w:rFonts w:cstheme="majorBidi"/>
      <w:color w:val="595959" w:themeColor="text1" w:themeTint="A6"/>
    </w:rPr>
  </w:style>
  <w:style w:type="character" w:customStyle="1" w:styleId="90">
    <w:name w:val="标题 9 字符"/>
    <w:basedOn w:val="a0"/>
    <w:link w:val="9"/>
    <w:uiPriority w:val="9"/>
    <w:semiHidden/>
    <w:rsid w:val="004248BB"/>
    <w:rPr>
      <w:rFonts w:eastAsiaTheme="majorEastAsia" w:cstheme="majorBidi"/>
      <w:color w:val="595959" w:themeColor="text1" w:themeTint="A6"/>
    </w:rPr>
  </w:style>
  <w:style w:type="paragraph" w:styleId="a3">
    <w:name w:val="Title"/>
    <w:basedOn w:val="a"/>
    <w:next w:val="a"/>
    <w:link w:val="a4"/>
    <w:uiPriority w:val="10"/>
    <w:qFormat/>
    <w:rsid w:val="004248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8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8BB"/>
    <w:pPr>
      <w:spacing w:before="160" w:after="160"/>
      <w:jc w:val="center"/>
    </w:pPr>
    <w:rPr>
      <w:i/>
      <w:iCs/>
      <w:color w:val="404040" w:themeColor="text1" w:themeTint="BF"/>
    </w:rPr>
  </w:style>
  <w:style w:type="character" w:customStyle="1" w:styleId="a8">
    <w:name w:val="引用 字符"/>
    <w:basedOn w:val="a0"/>
    <w:link w:val="a7"/>
    <w:uiPriority w:val="29"/>
    <w:rsid w:val="004248BB"/>
    <w:rPr>
      <w:i/>
      <w:iCs/>
      <w:color w:val="404040" w:themeColor="text1" w:themeTint="BF"/>
    </w:rPr>
  </w:style>
  <w:style w:type="paragraph" w:styleId="a9">
    <w:name w:val="List Paragraph"/>
    <w:basedOn w:val="a"/>
    <w:uiPriority w:val="34"/>
    <w:qFormat/>
    <w:rsid w:val="004248BB"/>
    <w:pPr>
      <w:ind w:left="720"/>
      <w:contextualSpacing/>
    </w:pPr>
  </w:style>
  <w:style w:type="character" w:styleId="aa">
    <w:name w:val="Intense Emphasis"/>
    <w:basedOn w:val="a0"/>
    <w:uiPriority w:val="21"/>
    <w:qFormat/>
    <w:rsid w:val="004248BB"/>
    <w:rPr>
      <w:i/>
      <w:iCs/>
      <w:color w:val="0F4761" w:themeColor="accent1" w:themeShade="BF"/>
    </w:rPr>
  </w:style>
  <w:style w:type="paragraph" w:styleId="ab">
    <w:name w:val="Intense Quote"/>
    <w:basedOn w:val="a"/>
    <w:next w:val="a"/>
    <w:link w:val="ac"/>
    <w:uiPriority w:val="30"/>
    <w:qFormat/>
    <w:rsid w:val="00424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248BB"/>
    <w:rPr>
      <w:i/>
      <w:iCs/>
      <w:color w:val="0F4761" w:themeColor="accent1" w:themeShade="BF"/>
    </w:rPr>
  </w:style>
  <w:style w:type="character" w:styleId="ad">
    <w:name w:val="Intense Reference"/>
    <w:basedOn w:val="a0"/>
    <w:uiPriority w:val="32"/>
    <w:qFormat/>
    <w:rsid w:val="004248BB"/>
    <w:rPr>
      <w:b/>
      <w:bCs/>
      <w:smallCaps/>
      <w:color w:val="0F4761" w:themeColor="accent1" w:themeShade="BF"/>
      <w:spacing w:val="5"/>
    </w:rPr>
  </w:style>
  <w:style w:type="paragraph" w:styleId="ae">
    <w:name w:val="header"/>
    <w:basedOn w:val="a"/>
    <w:link w:val="af"/>
    <w:uiPriority w:val="99"/>
    <w:unhideWhenUsed/>
    <w:rsid w:val="006A20A3"/>
    <w:pPr>
      <w:tabs>
        <w:tab w:val="center" w:pos="4153"/>
        <w:tab w:val="right" w:pos="8306"/>
      </w:tabs>
      <w:snapToGrid w:val="0"/>
      <w:jc w:val="center"/>
    </w:pPr>
    <w:rPr>
      <w:sz w:val="18"/>
      <w:szCs w:val="18"/>
    </w:rPr>
  </w:style>
  <w:style w:type="character" w:customStyle="1" w:styleId="af">
    <w:name w:val="页眉 字符"/>
    <w:basedOn w:val="a0"/>
    <w:link w:val="ae"/>
    <w:uiPriority w:val="99"/>
    <w:rsid w:val="006A20A3"/>
    <w:rPr>
      <w:sz w:val="18"/>
      <w:szCs w:val="18"/>
    </w:rPr>
  </w:style>
  <w:style w:type="paragraph" w:styleId="af0">
    <w:name w:val="footer"/>
    <w:basedOn w:val="a"/>
    <w:link w:val="af1"/>
    <w:uiPriority w:val="99"/>
    <w:unhideWhenUsed/>
    <w:rsid w:val="006A20A3"/>
    <w:pPr>
      <w:tabs>
        <w:tab w:val="center" w:pos="4153"/>
        <w:tab w:val="right" w:pos="8306"/>
      </w:tabs>
      <w:snapToGrid w:val="0"/>
      <w:jc w:val="left"/>
    </w:pPr>
    <w:rPr>
      <w:sz w:val="18"/>
      <w:szCs w:val="18"/>
    </w:rPr>
  </w:style>
  <w:style w:type="character" w:customStyle="1" w:styleId="af1">
    <w:name w:val="页脚 字符"/>
    <w:basedOn w:val="a0"/>
    <w:link w:val="af0"/>
    <w:uiPriority w:val="99"/>
    <w:rsid w:val="006A20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2025</Words>
  <Characters>4192</Characters>
  <Application>Microsoft Office Word</Application>
  <DocSecurity>0</DocSecurity>
  <Lines>381</Lines>
  <Paragraphs>345</Paragraphs>
  <ScaleCrop>false</ScaleCrop>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Rijo Nie</dc:creator>
  <cp:keywords/>
  <dc:description/>
  <cp:lastModifiedBy>Rijo Nie</cp:lastModifiedBy>
  <cp:revision>2</cp:revision>
  <dcterms:created xsi:type="dcterms:W3CDTF">2026-01-13T01:26:00Z</dcterms:created>
  <dcterms:modified xsi:type="dcterms:W3CDTF">2026-01-13T01:27:00Z</dcterms:modified>
</cp:coreProperties>
</file>